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jc w:val="center"/>
        <w:rPr>
          <w:rFonts w:ascii="宋体" w:hAnsi="宋体" w:eastAsia="宋体" w:cs="宋体"/>
          <w:b/>
          <w:sz w:val="32"/>
          <w:szCs w:val="32"/>
        </w:rPr>
      </w:pPr>
      <w:r>
        <w:rPr>
          <w:rFonts w:hint="eastAsia" w:ascii="宋体" w:hAnsi="宋体" w:eastAsia="宋体" w:cs="宋体"/>
          <w:b/>
          <w:sz w:val="32"/>
          <w:szCs w:val="32"/>
        </w:rPr>
        <w:t>广东江门中医药职业学院中药制药专业人才培养方案</w:t>
      </w:r>
    </w:p>
    <w:p>
      <w:pPr>
        <w:snapToGrid w:val="0"/>
        <w:spacing w:line="360" w:lineRule="auto"/>
        <w:ind w:firstLine="482" w:firstLineChars="200"/>
        <w:rPr>
          <w:rFonts w:ascii="宋体" w:hAnsi="宋体" w:eastAsia="宋体" w:cs="宋体"/>
          <w:b/>
          <w:sz w:val="24"/>
        </w:rPr>
      </w:pPr>
    </w:p>
    <w:p>
      <w:pPr>
        <w:snapToGrid w:val="0"/>
        <w:spacing w:line="360" w:lineRule="auto"/>
        <w:rPr>
          <w:rFonts w:ascii="宋体" w:hAnsi="宋体" w:eastAsia="宋体" w:cs="宋体"/>
          <w:b/>
          <w:sz w:val="24"/>
        </w:rPr>
      </w:pPr>
      <w:r>
        <w:rPr>
          <w:rFonts w:hint="eastAsia" w:ascii="宋体" w:hAnsi="宋体" w:eastAsia="宋体" w:cs="宋体"/>
          <w:b/>
          <w:sz w:val="24"/>
        </w:rPr>
        <w:t>一、专业名称及代码</w:t>
      </w:r>
    </w:p>
    <w:p>
      <w:pPr>
        <w:spacing w:line="360" w:lineRule="auto"/>
        <w:ind w:firstLine="480" w:firstLineChars="200"/>
        <w:rPr>
          <w:rFonts w:ascii="宋体" w:hAnsi="宋体" w:eastAsia="宋体" w:cs="宋体"/>
          <w:sz w:val="24"/>
        </w:rPr>
      </w:pPr>
      <w:r>
        <w:rPr>
          <w:rFonts w:hint="eastAsia" w:ascii="宋体" w:hAnsi="宋体" w:eastAsia="宋体" w:cs="宋体"/>
          <w:sz w:val="24"/>
        </w:rPr>
        <w:t>（一）专业名称 中药制药</w:t>
      </w:r>
    </w:p>
    <w:p>
      <w:pPr>
        <w:pStyle w:val="10"/>
        <w:spacing w:line="360" w:lineRule="auto"/>
        <w:ind w:firstLine="480"/>
        <w:rPr>
          <w:rFonts w:ascii="宋体" w:hAnsi="宋体" w:eastAsia="宋体" w:cs="宋体"/>
          <w:sz w:val="24"/>
        </w:rPr>
      </w:pPr>
      <w:r>
        <w:rPr>
          <w:rFonts w:hint="eastAsia" w:ascii="宋体" w:hAnsi="宋体" w:eastAsia="宋体" w:cs="宋体"/>
          <w:sz w:val="24"/>
        </w:rPr>
        <w:t xml:space="preserve">（二）专业代码 </w:t>
      </w:r>
      <w:r>
        <w:rPr>
          <w:rFonts w:hint="eastAsia" w:ascii="宋体" w:hAnsi="宋体" w:eastAsia="宋体" w:cs="宋体"/>
          <w:kern w:val="0"/>
          <w:sz w:val="24"/>
        </w:rPr>
        <w:t>520415</w:t>
      </w:r>
    </w:p>
    <w:p>
      <w:pPr>
        <w:snapToGrid w:val="0"/>
        <w:spacing w:line="360" w:lineRule="auto"/>
        <w:rPr>
          <w:rFonts w:ascii="宋体" w:hAnsi="宋体" w:eastAsia="宋体" w:cs="宋体"/>
          <w:b/>
          <w:sz w:val="24"/>
        </w:rPr>
      </w:pPr>
      <w:r>
        <w:rPr>
          <w:rFonts w:hint="eastAsia" w:ascii="宋体" w:hAnsi="宋体" w:eastAsia="宋体" w:cs="宋体"/>
          <w:b/>
          <w:sz w:val="24"/>
        </w:rPr>
        <w:t>二、入学要求</w:t>
      </w:r>
    </w:p>
    <w:p>
      <w:pPr>
        <w:spacing w:line="360" w:lineRule="auto"/>
        <w:ind w:firstLine="480" w:firstLineChars="200"/>
        <w:rPr>
          <w:rFonts w:ascii="宋体" w:hAnsi="宋体" w:eastAsia="宋体" w:cs="宋体"/>
          <w:color w:val="000000"/>
          <w:sz w:val="24"/>
        </w:rPr>
      </w:pPr>
      <w:r>
        <w:rPr>
          <w:rFonts w:hint="eastAsia" w:ascii="宋体" w:hAnsi="宋体" w:eastAsia="宋体" w:cs="宋体"/>
          <w:sz w:val="24"/>
        </w:rPr>
        <w:t>普通高中毕业生/中等职业学校毕业生</w:t>
      </w:r>
    </w:p>
    <w:p>
      <w:pPr>
        <w:snapToGrid w:val="0"/>
        <w:spacing w:line="360" w:lineRule="auto"/>
        <w:rPr>
          <w:rFonts w:ascii="宋体" w:hAnsi="宋体" w:eastAsia="宋体" w:cs="宋体"/>
          <w:b/>
          <w:sz w:val="24"/>
        </w:rPr>
      </w:pPr>
      <w:r>
        <w:rPr>
          <w:rFonts w:hint="eastAsia" w:ascii="宋体" w:hAnsi="宋体" w:eastAsia="宋体" w:cs="宋体"/>
          <w:b/>
          <w:sz w:val="24"/>
        </w:rPr>
        <w:t>三、修业年限</w:t>
      </w:r>
    </w:p>
    <w:p>
      <w:pPr>
        <w:spacing w:line="360" w:lineRule="auto"/>
        <w:ind w:firstLine="480" w:firstLineChars="200"/>
        <w:rPr>
          <w:rFonts w:ascii="宋体" w:hAnsi="宋体" w:eastAsia="宋体" w:cs="宋体"/>
          <w:sz w:val="24"/>
        </w:rPr>
      </w:pPr>
      <w:r>
        <w:rPr>
          <w:rFonts w:hint="eastAsia" w:ascii="宋体" w:hAnsi="宋体" w:eastAsia="宋体" w:cs="宋体"/>
          <w:sz w:val="24"/>
        </w:rPr>
        <w:t>全日制3年</w:t>
      </w:r>
    </w:p>
    <w:p>
      <w:pPr>
        <w:snapToGrid w:val="0"/>
        <w:spacing w:line="360" w:lineRule="auto"/>
        <w:rPr>
          <w:rFonts w:ascii="宋体" w:hAnsi="宋体" w:eastAsia="宋体" w:cs="宋体"/>
          <w:b/>
          <w:sz w:val="24"/>
        </w:rPr>
      </w:pPr>
      <w:r>
        <w:rPr>
          <w:rFonts w:hint="eastAsia" w:ascii="宋体" w:hAnsi="宋体" w:eastAsia="宋体" w:cs="宋体"/>
          <w:b/>
          <w:sz w:val="24"/>
        </w:rPr>
        <w:t>四、就业面向</w:t>
      </w:r>
    </w:p>
    <w:p>
      <w:pPr>
        <w:spacing w:line="360" w:lineRule="auto"/>
        <w:ind w:firstLine="482" w:firstLineChars="200"/>
        <w:jc w:val="center"/>
        <w:rPr>
          <w:rFonts w:ascii="宋体" w:hAnsi="宋体" w:eastAsia="宋体" w:cs="宋体"/>
          <w:b/>
          <w:sz w:val="24"/>
        </w:rPr>
      </w:pPr>
      <w:r>
        <w:rPr>
          <w:rFonts w:hint="eastAsia" w:ascii="宋体" w:hAnsi="宋体" w:eastAsia="宋体" w:cs="宋体"/>
          <w:b/>
          <w:sz w:val="24"/>
        </w:rPr>
        <w:t>表1中药制药专业就业方向</w:t>
      </w:r>
    </w:p>
    <w:tbl>
      <w:tblPr>
        <w:tblStyle w:val="8"/>
        <w:tblW w:w="90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7"/>
        <w:gridCol w:w="2575"/>
        <w:gridCol w:w="3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2697"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就业岗位</w:t>
            </w:r>
          </w:p>
        </w:tc>
        <w:tc>
          <w:tcPr>
            <w:tcW w:w="2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主要工作任务</w:t>
            </w:r>
          </w:p>
        </w:tc>
        <w:tc>
          <w:tcPr>
            <w:tcW w:w="373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6" w:hRule="atLeast"/>
          <w:jc w:val="center"/>
        </w:trPr>
        <w:tc>
          <w:tcPr>
            <w:tcW w:w="2697"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中药材生产岗位</w:t>
            </w:r>
          </w:p>
          <w:p>
            <w:pPr>
              <w:jc w:val="center"/>
            </w:pPr>
            <w:r>
              <w:rPr>
                <w:rFonts w:hint="eastAsia"/>
              </w:rPr>
              <w:t>中药制药岗位</w:t>
            </w:r>
          </w:p>
          <w:p>
            <w:pPr>
              <w:jc w:val="center"/>
            </w:pPr>
            <w:r>
              <w:rPr>
                <w:rFonts w:hint="eastAsia"/>
              </w:rPr>
              <w:t>中药质检岗位</w:t>
            </w:r>
          </w:p>
        </w:tc>
        <w:tc>
          <w:tcPr>
            <w:tcW w:w="2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中药生产与加工</w:t>
            </w:r>
          </w:p>
          <w:p>
            <w:pPr>
              <w:jc w:val="center"/>
            </w:pPr>
            <w:r>
              <w:rPr>
                <w:rFonts w:hint="eastAsia"/>
              </w:rPr>
              <w:t>中药制药</w:t>
            </w:r>
          </w:p>
          <w:p>
            <w:pPr>
              <w:jc w:val="center"/>
            </w:pPr>
            <w:r>
              <w:rPr>
                <w:rFonts w:hint="eastAsia"/>
              </w:rPr>
              <w:t>中药质量检验和控制</w:t>
            </w:r>
          </w:p>
        </w:tc>
        <w:tc>
          <w:tcPr>
            <w:tcW w:w="373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中药炮制工</w:t>
            </w:r>
          </w:p>
          <w:p>
            <w:pPr>
              <w:jc w:val="center"/>
            </w:pPr>
            <w:r>
              <w:rPr>
                <w:rFonts w:hint="eastAsia"/>
              </w:rPr>
              <w:t>药物制剂工</w:t>
            </w:r>
          </w:p>
          <w:p>
            <w:pPr>
              <w:jc w:val="center"/>
            </w:pPr>
            <w:r>
              <w:rPr>
                <w:rFonts w:hint="eastAsia"/>
              </w:rPr>
              <w:t>执业中药师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7" w:hRule="atLeast"/>
          <w:jc w:val="center"/>
        </w:trPr>
        <w:tc>
          <w:tcPr>
            <w:tcW w:w="2697"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中药购销岗位</w:t>
            </w:r>
          </w:p>
          <w:p>
            <w:pPr>
              <w:jc w:val="center"/>
            </w:pPr>
            <w:r>
              <w:rPr>
                <w:rFonts w:hint="eastAsia"/>
              </w:rPr>
              <w:t>中药调剂岗位</w:t>
            </w:r>
          </w:p>
          <w:p>
            <w:pPr>
              <w:jc w:val="center"/>
            </w:pPr>
            <w:r>
              <w:rPr>
                <w:rFonts w:hint="eastAsia"/>
              </w:rPr>
              <w:t>中药咨询与服务岗位</w:t>
            </w:r>
          </w:p>
        </w:tc>
        <w:tc>
          <w:tcPr>
            <w:tcW w:w="2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中药采购与经营</w:t>
            </w:r>
          </w:p>
          <w:p>
            <w:pPr>
              <w:jc w:val="center"/>
            </w:pPr>
            <w:r>
              <w:rPr>
                <w:rFonts w:hint="eastAsia"/>
              </w:rPr>
              <w:t>中药调剂</w:t>
            </w:r>
          </w:p>
          <w:p>
            <w:pPr>
              <w:jc w:val="center"/>
            </w:pPr>
            <w:r>
              <w:rPr>
                <w:rFonts w:hint="eastAsia"/>
              </w:rPr>
              <w:t>药品仓库管理</w:t>
            </w:r>
          </w:p>
          <w:p>
            <w:pPr>
              <w:jc w:val="center"/>
            </w:pPr>
            <w:r>
              <w:rPr>
                <w:rFonts w:hint="eastAsia"/>
              </w:rPr>
              <w:t>中药咨询与服务</w:t>
            </w:r>
          </w:p>
        </w:tc>
        <w:tc>
          <w:tcPr>
            <w:tcW w:w="373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执业中药师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8" w:hRule="atLeast"/>
          <w:jc w:val="center"/>
        </w:trPr>
        <w:tc>
          <w:tcPr>
            <w:tcW w:w="2697"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门店零售岗位</w:t>
            </w:r>
          </w:p>
          <w:p>
            <w:pPr>
              <w:jc w:val="center"/>
            </w:pPr>
            <w:r>
              <w:rPr>
                <w:rFonts w:hint="eastAsia"/>
              </w:rPr>
              <w:t>门店管理岗位</w:t>
            </w:r>
          </w:p>
          <w:p>
            <w:pPr>
              <w:jc w:val="center"/>
            </w:pPr>
            <w:r>
              <w:rPr>
                <w:rFonts w:hint="eastAsia"/>
              </w:rPr>
              <w:t>中药采购岗位</w:t>
            </w:r>
          </w:p>
          <w:p>
            <w:pPr>
              <w:jc w:val="center"/>
            </w:pPr>
            <w:r>
              <w:rPr>
                <w:rFonts w:hint="eastAsia"/>
              </w:rPr>
              <w:t>仓库储存与养护岗位</w:t>
            </w:r>
          </w:p>
        </w:tc>
        <w:tc>
          <w:tcPr>
            <w:tcW w:w="2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中药品采购</w:t>
            </w:r>
          </w:p>
          <w:p>
            <w:pPr>
              <w:jc w:val="center"/>
            </w:pPr>
            <w:r>
              <w:rPr>
                <w:rFonts w:hint="eastAsia"/>
              </w:rPr>
              <w:t>中药营销</w:t>
            </w:r>
          </w:p>
          <w:p>
            <w:pPr>
              <w:jc w:val="center"/>
            </w:pPr>
            <w:r>
              <w:rPr>
                <w:rFonts w:hint="eastAsia"/>
              </w:rPr>
              <w:t>中药储存与养护</w:t>
            </w:r>
          </w:p>
        </w:tc>
        <w:tc>
          <w:tcPr>
            <w:tcW w:w="373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执业中药师</w:t>
            </w:r>
          </w:p>
        </w:tc>
      </w:tr>
    </w:tbl>
    <w:p>
      <w:pPr>
        <w:snapToGrid w:val="0"/>
        <w:spacing w:line="360" w:lineRule="auto"/>
        <w:rPr>
          <w:rFonts w:ascii="宋体" w:hAnsi="宋体" w:eastAsia="宋体" w:cs="宋体"/>
          <w:b/>
          <w:sz w:val="24"/>
        </w:rPr>
      </w:pPr>
      <w:r>
        <w:rPr>
          <w:rFonts w:hint="eastAsia" w:ascii="宋体" w:hAnsi="宋体" w:eastAsia="宋体" w:cs="宋体"/>
          <w:b/>
          <w:sz w:val="24"/>
        </w:rPr>
        <w:t>五、培养目标与培养规格</w:t>
      </w:r>
    </w:p>
    <w:p>
      <w:pPr>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（一）培养目标</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培养德、智、体、美、劳全面发展，具有良好的职业道德、职业技能、人文素养、科学素养、实践能力和创新精神，掌握中药制专业的基本理论和操作技能，具有</w:t>
      </w:r>
      <w:r>
        <w:rPr>
          <w:rFonts w:hint="eastAsia" w:ascii="宋体" w:hAnsi="宋体" w:eastAsia="宋体" w:cs="宋体"/>
          <w:color w:val="000000"/>
          <w:sz w:val="24"/>
        </w:rPr>
        <w:t>中药生产、中药制药技术、中药质量控制、设备维护、营销管理等实践操作技能和基本理论知识；</w:t>
      </w:r>
      <w:r>
        <w:rPr>
          <w:rFonts w:hint="eastAsia" w:ascii="宋体" w:hAnsi="宋体" w:eastAsia="宋体" w:cs="宋体"/>
          <w:sz w:val="24"/>
        </w:rPr>
        <w:t>适应中医药卫生事业、大健康产业发展所需要的，具有较强的实践能力和发展潜能的高素质技术技能型人才。</w:t>
      </w:r>
    </w:p>
    <w:p>
      <w:pPr>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（二）培养规格</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1.素质</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（1）热爱祖国，拥护党的基本路线、方针政策。</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（2）具有正确的世界观、价值观和人生观，有理想、有道德、有文化、有纪律，具有良好的职业道德和法制观念 。</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（3）具有高技能人才必备的科学素养和文化素养，有联系实际、实事求是的科学态度。</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（4）具有遵章守纪，按章办事的习惯；尊重自己、尊重他人、尊重科学；具有较强的自学能力、知识自我更新能力和适应岗位变化的能力。</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（5）具有本专业必需的职业素养，专业思想牢固，具有诚信品质、敬业精神和责任意识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（6）具有良好的身体素质，体能达到规定的标准；有良好的心理调节能力和社会适应能力，能正确地对待困难和挫折。</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2. 知识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（1）具有本专业高技能专门人才所必须的的中医药学基础、医学基础、化学、植物学等相关知识和人文知识。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（2）掌握中药饮片、中药制剂生产的基本理论、生产技术和质量控制相关理论知识。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（3）熟悉中药饮片、中药制剂生产工艺流程以及关键因素。</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（4）具有本专业所需的中药生产设备的使用与维护知识；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（5）具有中药制剂制备工艺与质量分析的理论知识；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（6）具有与本专业相关的中药学服务与指导知识；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（7）具有《药品管理法》、《中医药法》等相关法律法规知识。</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3. 能力</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（1）能熟练掌握基础化学实验、中药鉴定、质量检测、中药制剂制备 等实践操作技能；</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（2）具有常规中药制剂质量分析的能力和常用中药制剂生产的基本能力；</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（3）能利用本专业理论和技能解决岗位的基本技术问题；</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（4） 熟悉常用仪器设备的使用方法，了解常用生产设备的结构、使用和日常维护。</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（5）具有中药学服务与指导能力；</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（6）具备一定的计算机及英语的实际应用能力及本专业岗位工作需要的语言及文字表达能力</w:t>
      </w:r>
    </w:p>
    <w:p>
      <w:pPr>
        <w:spacing w:line="360" w:lineRule="auto"/>
        <w:ind w:firstLine="480" w:firstLineChars="200"/>
        <w:rPr>
          <w:rFonts w:ascii="宋体" w:hAnsi="宋体" w:eastAsia="宋体" w:cs="宋体"/>
          <w:sz w:val="24"/>
        </w:rPr>
      </w:pPr>
      <w:r>
        <w:rPr>
          <w:rFonts w:hint="eastAsia" w:ascii="宋体" w:hAnsi="宋体" w:eastAsia="宋体" w:cs="宋体"/>
          <w:sz w:val="24"/>
        </w:rPr>
        <w:t>（7）具有获取及应用本专业新设备、新技术、新工艺等信息的能力。</w:t>
      </w:r>
    </w:p>
    <w:p>
      <w:pPr>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六、课程设置及要求</w:t>
      </w:r>
    </w:p>
    <w:p>
      <w:pPr>
        <w:adjustRightInd w:val="0"/>
        <w:snapToGrid w:val="0"/>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 xml:space="preserve">本专业课程体系分公共基础课程、专业基础课程、专业核心课程、选修课程（任选课、限选课）四大类。  </w:t>
      </w:r>
    </w:p>
    <w:p>
      <w:pPr>
        <w:spacing w:line="360" w:lineRule="auto"/>
        <w:ind w:firstLine="482" w:firstLineChars="200"/>
        <w:jc w:val="center"/>
        <w:rPr>
          <w:rFonts w:ascii="宋体" w:hAnsi="宋体" w:eastAsia="宋体" w:cs="宋体"/>
          <w:b/>
          <w:sz w:val="24"/>
        </w:rPr>
      </w:pPr>
      <w:r>
        <w:rPr>
          <w:rFonts w:hint="eastAsia" w:ascii="宋体" w:hAnsi="宋体" w:eastAsia="宋体" w:cs="宋体"/>
          <w:b/>
          <w:sz w:val="24"/>
        </w:rPr>
        <w:t>表2中药制药专业课程设置</w:t>
      </w:r>
    </w:p>
    <w:tbl>
      <w:tblPr>
        <w:tblStyle w:val="8"/>
        <w:tblW w:w="8326" w:type="dxa"/>
        <w:tblInd w:w="96" w:type="dxa"/>
        <w:tblLayout w:type="fixed"/>
        <w:tblCellMar>
          <w:top w:w="0" w:type="dxa"/>
          <w:left w:w="108" w:type="dxa"/>
          <w:bottom w:w="0" w:type="dxa"/>
          <w:right w:w="108" w:type="dxa"/>
        </w:tblCellMar>
      </w:tblPr>
      <w:tblGrid>
        <w:gridCol w:w="1780"/>
        <w:gridCol w:w="5078"/>
        <w:gridCol w:w="1468"/>
      </w:tblGrid>
      <w:tr>
        <w:tblPrEx>
          <w:tblLayout w:type="fixed"/>
          <w:tblCellMar>
            <w:top w:w="0" w:type="dxa"/>
            <w:left w:w="108" w:type="dxa"/>
            <w:bottom w:w="0" w:type="dxa"/>
            <w:right w:w="108" w:type="dxa"/>
          </w:tblCellMar>
        </w:tblPrEx>
        <w:trPr>
          <w:trHeight w:val="363" w:hRule="exact"/>
        </w:trPr>
        <w:tc>
          <w:tcPr>
            <w:tcW w:w="1780" w:type="dxa"/>
            <w:tcBorders>
              <w:top w:val="single" w:color="auto" w:sz="8" w:space="0"/>
              <w:left w:val="single" w:color="auto" w:sz="8" w:space="0"/>
              <w:bottom w:val="single" w:color="auto" w:sz="8" w:space="0"/>
              <w:right w:val="single" w:color="auto" w:sz="8" w:space="0"/>
            </w:tcBorders>
            <w:noWrap/>
            <w:vAlign w:val="center"/>
          </w:tcPr>
          <w:p>
            <w:pPr>
              <w:jc w:val="center"/>
            </w:pPr>
            <w:r>
              <w:rPr>
                <w:rFonts w:hint="eastAsia"/>
              </w:rPr>
              <w:t>课程类型</w:t>
            </w:r>
          </w:p>
        </w:tc>
        <w:tc>
          <w:tcPr>
            <w:tcW w:w="5078" w:type="dxa"/>
            <w:tcBorders>
              <w:top w:val="single" w:color="auto" w:sz="8" w:space="0"/>
              <w:left w:val="nil"/>
              <w:bottom w:val="single" w:color="auto" w:sz="8" w:space="0"/>
              <w:right w:val="single" w:color="auto" w:sz="8" w:space="0"/>
            </w:tcBorders>
            <w:noWrap/>
            <w:vAlign w:val="center"/>
          </w:tcPr>
          <w:p>
            <w:pPr>
              <w:jc w:val="center"/>
            </w:pPr>
            <w:r>
              <w:rPr>
                <w:rFonts w:hint="eastAsia"/>
              </w:rPr>
              <w:t>课程名称</w:t>
            </w:r>
          </w:p>
        </w:tc>
        <w:tc>
          <w:tcPr>
            <w:tcW w:w="1468" w:type="dxa"/>
            <w:tcBorders>
              <w:top w:val="single" w:color="auto" w:sz="8" w:space="0"/>
              <w:left w:val="nil"/>
              <w:bottom w:val="single" w:color="auto" w:sz="8" w:space="0"/>
              <w:right w:val="single" w:color="auto" w:sz="8" w:space="0"/>
            </w:tcBorders>
            <w:noWrap/>
            <w:vAlign w:val="center"/>
          </w:tcPr>
          <w:p>
            <w:pPr>
              <w:jc w:val="center"/>
            </w:pPr>
            <w:r>
              <w:rPr>
                <w:rFonts w:hint="eastAsia"/>
              </w:rPr>
              <w:t>课程性质</w:t>
            </w:r>
          </w:p>
        </w:tc>
      </w:tr>
      <w:tr>
        <w:tblPrEx>
          <w:tblLayout w:type="fixed"/>
          <w:tblCellMar>
            <w:top w:w="0" w:type="dxa"/>
            <w:left w:w="108" w:type="dxa"/>
            <w:bottom w:w="0" w:type="dxa"/>
            <w:right w:w="108" w:type="dxa"/>
          </w:tblCellMar>
        </w:tblPrEx>
        <w:trPr>
          <w:trHeight w:val="363" w:hRule="exact"/>
        </w:trPr>
        <w:tc>
          <w:tcPr>
            <w:tcW w:w="1780" w:type="dxa"/>
            <w:vMerge w:val="restart"/>
            <w:tcBorders>
              <w:top w:val="nil"/>
              <w:left w:val="single" w:color="auto" w:sz="8" w:space="0"/>
              <w:right w:val="single" w:color="auto" w:sz="8" w:space="0"/>
            </w:tcBorders>
            <w:noWrap/>
            <w:vAlign w:val="center"/>
          </w:tcPr>
          <w:p>
            <w:pPr>
              <w:jc w:val="center"/>
            </w:pPr>
            <w:r>
              <w:rPr>
                <w:rFonts w:hint="eastAsia"/>
              </w:rPr>
              <w:t>公共基础课程</w:t>
            </w:r>
          </w:p>
        </w:tc>
        <w:tc>
          <w:tcPr>
            <w:tcW w:w="5078" w:type="dxa"/>
            <w:tcBorders>
              <w:top w:val="nil"/>
              <w:left w:val="nil"/>
              <w:bottom w:val="single" w:color="auto" w:sz="8" w:space="0"/>
              <w:right w:val="single" w:color="auto" w:sz="8" w:space="0"/>
            </w:tcBorders>
            <w:noWrap/>
            <w:vAlign w:val="center"/>
          </w:tcPr>
          <w:p>
            <w:pPr>
              <w:jc w:val="center"/>
            </w:pPr>
            <w:r>
              <w:rPr>
                <w:rFonts w:hint="eastAsia"/>
              </w:rPr>
              <w:t>军事理论与军事技能</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rPr>
                <w:rFonts w:hint="eastAsia" w:eastAsiaTheme="minorEastAsia"/>
                <w:lang w:eastAsia="zh-CN"/>
              </w:rPr>
            </w:pPr>
            <w:r>
              <w:rPr>
                <w:rFonts w:hint="eastAsia"/>
                <w:lang w:eastAsia="zh-CN"/>
              </w:rPr>
              <w:t>思想道德与法治</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马克思主义中国化进程与青年学生使命担当</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毛泽东思想和中国特色社会主义理论体系概论</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形势与政策</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体育</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大学生心理健康教育</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大学生职业发展与就业指导</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创新创业教育</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信息技术</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劳动教育</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英语</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8" w:space="0"/>
              <w:right w:val="single" w:color="auto" w:sz="8" w:space="0"/>
            </w:tcBorders>
            <w:noWrap/>
            <w:vAlign w:val="center"/>
          </w:tcPr>
          <w:p>
            <w:pPr>
              <w:jc w:val="center"/>
            </w:pPr>
          </w:p>
        </w:tc>
        <w:tc>
          <w:tcPr>
            <w:tcW w:w="5078" w:type="dxa"/>
            <w:tcBorders>
              <w:top w:val="nil"/>
              <w:left w:val="nil"/>
              <w:bottom w:val="single" w:color="auto" w:sz="8" w:space="0"/>
              <w:right w:val="single" w:color="auto" w:sz="8" w:space="0"/>
            </w:tcBorders>
            <w:noWrap/>
            <w:vAlign w:val="center"/>
          </w:tcPr>
          <w:p>
            <w:pPr>
              <w:jc w:val="center"/>
            </w:pPr>
            <w:r>
              <w:rPr>
                <w:rFonts w:hint="eastAsia"/>
              </w:rPr>
              <w:t>国家安全教育</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restart"/>
            <w:tcBorders>
              <w:top w:val="single" w:color="auto" w:sz="4" w:space="0"/>
              <w:left w:val="single" w:color="auto" w:sz="4" w:space="0"/>
              <w:bottom w:val="single" w:color="auto" w:sz="4" w:space="0"/>
              <w:right w:val="single" w:color="auto" w:sz="4" w:space="0"/>
            </w:tcBorders>
            <w:noWrap/>
            <w:vAlign w:val="center"/>
          </w:tcPr>
          <w:p>
            <w:pPr>
              <w:jc w:val="center"/>
            </w:pPr>
            <w:r>
              <w:rPr>
                <w:rFonts w:hint="eastAsia"/>
              </w:rPr>
              <w:t>专业基础课程</w:t>
            </w: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人体解剖与生理</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微生物与免疫学</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药用基础化学</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中医学基础</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中药学</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药用植物学</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中药化学</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药事管理与法规</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top w:val="single" w:color="auto" w:sz="4" w:space="0"/>
              <w:left w:val="single" w:color="auto" w:sz="4" w:space="0"/>
              <w:bottom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中药药理</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restart"/>
            <w:tcBorders>
              <w:top w:val="single" w:color="auto" w:sz="4" w:space="0"/>
              <w:left w:val="single" w:color="auto" w:sz="4" w:space="0"/>
              <w:right w:val="single" w:color="auto" w:sz="4" w:space="0"/>
            </w:tcBorders>
            <w:noWrap/>
            <w:vAlign w:val="center"/>
          </w:tcPr>
          <w:p>
            <w:pPr>
              <w:jc w:val="center"/>
            </w:pPr>
            <w:r>
              <w:rPr>
                <w:rFonts w:hint="eastAsia"/>
              </w:rPr>
              <w:t>专业核心课程</w:t>
            </w: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中药药剂技术</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8" w:space="0"/>
              <w:right w:val="single" w:color="auto" w:sz="8" w:space="0"/>
            </w:tcBorders>
            <w:noWrap/>
            <w:vAlign w:val="center"/>
          </w:tcPr>
          <w:p>
            <w:pPr>
              <w:jc w:val="center"/>
            </w:pPr>
            <w:r>
              <w:rPr>
                <w:rFonts w:hint="eastAsia"/>
              </w:rPr>
              <w:t>中药炮制技术</w:t>
            </w:r>
          </w:p>
        </w:tc>
        <w:tc>
          <w:tcPr>
            <w:tcW w:w="1468" w:type="dxa"/>
            <w:tcBorders>
              <w:top w:val="nil"/>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nil"/>
              <w:left w:val="single" w:color="auto" w:sz="4" w:space="0"/>
              <w:bottom w:val="single" w:color="auto" w:sz="4" w:space="0"/>
              <w:right w:val="single" w:color="auto" w:sz="8" w:space="0"/>
            </w:tcBorders>
            <w:noWrap/>
            <w:vAlign w:val="center"/>
          </w:tcPr>
          <w:p>
            <w:pPr>
              <w:jc w:val="center"/>
            </w:pPr>
            <w:r>
              <w:rPr>
                <w:rFonts w:hint="eastAsia"/>
              </w:rPr>
              <w:t>中药鉴定技术</w:t>
            </w:r>
          </w:p>
        </w:tc>
        <w:tc>
          <w:tcPr>
            <w:tcW w:w="1468" w:type="dxa"/>
            <w:tcBorders>
              <w:top w:val="nil"/>
              <w:left w:val="nil"/>
              <w:bottom w:val="single" w:color="auto" w:sz="4"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中药制剂检测技术</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医药市场营销</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中药加工、贮藏与养护</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bottom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专业技能综合实训</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必修课</w:t>
            </w:r>
          </w:p>
        </w:tc>
      </w:tr>
      <w:tr>
        <w:tblPrEx>
          <w:tblLayout w:type="fixed"/>
          <w:tblCellMar>
            <w:top w:w="0" w:type="dxa"/>
            <w:left w:w="108" w:type="dxa"/>
            <w:bottom w:w="0" w:type="dxa"/>
            <w:right w:w="108" w:type="dxa"/>
          </w:tblCellMar>
        </w:tblPrEx>
        <w:trPr>
          <w:trHeight w:val="363" w:hRule="exact"/>
        </w:trPr>
        <w:tc>
          <w:tcPr>
            <w:tcW w:w="1780" w:type="dxa"/>
            <w:vMerge w:val="restart"/>
            <w:tcBorders>
              <w:top w:val="single" w:color="auto" w:sz="4" w:space="0"/>
              <w:left w:val="single" w:color="auto" w:sz="4" w:space="0"/>
              <w:right w:val="single" w:color="auto" w:sz="4" w:space="0"/>
            </w:tcBorders>
            <w:noWrap/>
            <w:vAlign w:val="center"/>
          </w:tcPr>
          <w:p>
            <w:pPr>
              <w:jc w:val="center"/>
            </w:pPr>
            <w:r>
              <w:rPr>
                <w:rFonts w:hint="eastAsia"/>
              </w:rPr>
              <w:t>选修课程</w:t>
            </w: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中医药与中华传统文化</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选修课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艺术鉴赏</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选修课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双创训练营</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选修课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应用写作</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选修课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经典诵读</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选修课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医患沟通</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选修课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中国茶文化与茶健康</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选修课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药用植物识别技术</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专业选修课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中药制药工程原理与设备</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专业选修课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实用药物学基础</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专业选修课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药学文献检索</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专业选修课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中药学综合知识与技能</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专业选修课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药膳食疗学</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专业选修课</w:t>
            </w:r>
          </w:p>
        </w:tc>
      </w:tr>
      <w:tr>
        <w:tblPrEx>
          <w:tblLayout w:type="fixed"/>
          <w:tblCellMar>
            <w:top w:w="0" w:type="dxa"/>
            <w:left w:w="108" w:type="dxa"/>
            <w:bottom w:w="0" w:type="dxa"/>
            <w:right w:w="108" w:type="dxa"/>
          </w:tblCellMar>
        </w:tblPrEx>
        <w:trPr>
          <w:trHeight w:val="363" w:hRule="exact"/>
        </w:trPr>
        <w:tc>
          <w:tcPr>
            <w:tcW w:w="1780" w:type="dxa"/>
            <w:vMerge w:val="continue"/>
            <w:tcBorders>
              <w:left w:val="single" w:color="auto" w:sz="4" w:space="0"/>
              <w:right w:val="single" w:color="auto" w:sz="4" w:space="0"/>
            </w:tcBorders>
            <w:noWrap/>
            <w:vAlign w:val="center"/>
          </w:tcPr>
          <w:p>
            <w:pPr>
              <w:jc w:val="center"/>
            </w:pPr>
          </w:p>
        </w:tc>
        <w:tc>
          <w:tcPr>
            <w:tcW w:w="5078" w:type="dxa"/>
            <w:tcBorders>
              <w:top w:val="single" w:color="auto" w:sz="4" w:space="0"/>
              <w:left w:val="single" w:color="auto" w:sz="4" w:space="0"/>
              <w:bottom w:val="single" w:color="auto" w:sz="8" w:space="0"/>
              <w:right w:val="single" w:color="auto" w:sz="8" w:space="0"/>
            </w:tcBorders>
            <w:noWrap/>
            <w:vAlign w:val="center"/>
          </w:tcPr>
          <w:p>
            <w:pPr>
              <w:jc w:val="center"/>
            </w:pPr>
            <w:r>
              <w:rPr>
                <w:rFonts w:hint="eastAsia"/>
              </w:rPr>
              <w:t>医学伦理学</w:t>
            </w:r>
          </w:p>
        </w:tc>
        <w:tc>
          <w:tcPr>
            <w:tcW w:w="1468" w:type="dxa"/>
            <w:tcBorders>
              <w:top w:val="single" w:color="auto" w:sz="4" w:space="0"/>
              <w:left w:val="nil"/>
              <w:bottom w:val="single" w:color="auto" w:sz="8" w:space="0"/>
              <w:right w:val="single" w:color="auto" w:sz="8" w:space="0"/>
            </w:tcBorders>
            <w:vAlign w:val="center"/>
          </w:tcPr>
          <w:p>
            <w:pPr>
              <w:jc w:val="center"/>
            </w:pPr>
            <w:r>
              <w:rPr>
                <w:rFonts w:hint="eastAsia"/>
              </w:rPr>
              <w:t>专业选修课</w:t>
            </w:r>
          </w:p>
        </w:tc>
      </w:tr>
    </w:tbl>
    <w:p>
      <w:pPr>
        <w:spacing w:line="360" w:lineRule="auto"/>
        <w:ind w:firstLine="482" w:firstLineChars="200"/>
        <w:rPr>
          <w:rFonts w:ascii="宋体" w:hAnsi="宋体" w:eastAsia="宋体" w:cs="宋体"/>
          <w:b/>
          <w:bCs/>
          <w:sz w:val="24"/>
        </w:rPr>
      </w:pPr>
    </w:p>
    <w:p>
      <w:pPr>
        <w:spacing w:line="360" w:lineRule="auto"/>
        <w:ind w:firstLine="482" w:firstLineChars="200"/>
        <w:rPr>
          <w:rFonts w:ascii="宋体" w:hAnsi="宋体" w:eastAsia="宋体" w:cs="宋体"/>
          <w:b/>
          <w:bCs/>
          <w:sz w:val="24"/>
        </w:rPr>
      </w:pPr>
      <w:r>
        <w:rPr>
          <w:rFonts w:hint="eastAsia" w:ascii="宋体" w:hAnsi="宋体" w:eastAsia="宋体" w:cs="宋体"/>
          <w:b/>
          <w:bCs/>
          <w:sz w:val="24"/>
        </w:rPr>
        <w:t>（一）公共课模块（学时652，学分33）</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1．军事课之军事技能（148学时，4.0学分）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教学要求：通过军事课教学和军事技能训练，使大学生掌握基本军事理论和军事技能，达到增强国防观念和国家安全意识，强化爱国主义、集体主义观念，加强组织纪律性，促进大学生综合素质的提高，为中国人民解放军训练后备兵员和培养预备役军官打下坚实基础的目的。</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2．</w:t>
      </w:r>
      <w:r>
        <w:rPr>
          <w:rFonts w:hint="eastAsia" w:ascii="宋体" w:hAnsi="宋体" w:eastAsia="宋体" w:cs="宋体"/>
          <w:b w:val="0"/>
          <w:bCs/>
          <w:sz w:val="24"/>
          <w:lang w:eastAsia="zh-CN"/>
        </w:rPr>
        <w:t>思想道德与法治</w:t>
      </w:r>
      <w:r>
        <w:rPr>
          <w:rFonts w:hint="eastAsia" w:ascii="宋体" w:hAnsi="宋体" w:eastAsia="宋体" w:cs="宋体"/>
          <w:b w:val="0"/>
          <w:bCs/>
          <w:sz w:val="24"/>
        </w:rPr>
        <w:t>（48学时，3.0学分）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是高校思想政治理论课的必修课程，本课程以马克思主义为指导，以习近平新时代中国特色社会主义思想为价值取向，以正确的世界观、人生观、价值观和道德观、法制观教育为主要内容，把社会主义核心价值观贯穿教学的全过程，通过理论学习和实践体验，帮助学生形成崇高的理想信念，弘扬伟大的爱国精神，确立正确的人生观和价值观，加强思想品德修养，增强学法、用法的自觉性，全面提高大学生的思想道德素质、行为修养和法律素养。</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3．马克思主义中国化进程与青年学生使命担当（</w:t>
      </w:r>
      <w:r>
        <w:rPr>
          <w:rFonts w:hint="eastAsia" w:ascii="宋体" w:hAnsi="宋体" w:eastAsia="宋体" w:cs="宋体"/>
          <w:b w:val="0"/>
          <w:bCs/>
          <w:sz w:val="24"/>
          <w:lang w:eastAsia="zh-CN"/>
        </w:rPr>
        <w:t>24学时</w:t>
      </w:r>
      <w:r>
        <w:rPr>
          <w:rFonts w:hint="eastAsia" w:ascii="宋体" w:hAnsi="宋体" w:eastAsia="宋体" w:cs="宋体"/>
          <w:b w:val="0"/>
          <w:bCs/>
          <w:sz w:val="24"/>
        </w:rPr>
        <w:t>，2.0学分）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为广东省高校学生必修课程。旨在通过学习，引导当代青年学生自觉做到“两个维护”，增强“四个自信”，坚持“五位一体”总体布局，自觉融入坚持和发展中国特色社会主义事业中。增强使命担当，自觉报效祖国，同人民一道，为实现“两个一百年”奋斗目标，实现中华民族伟大复兴的中国梦而奋斗。</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4．毛泽东思想和中国特色社会主义理论体系概论（64学时，4.0学分）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是高校思想政治理论课程中的核心课程，是普通高等院校学生的必修课。这门课的基本内容是全面论述毛泽东思想、邓小平理论和“三个代表”重要思想、科学发展观和习近平新时代中国特色社会主义思想的科学涵义、形成发展过程、科学体系、历史地位、指导意义、基本观点及中国特色社会主义建设的路线方针政策等。使大学生通过学习，掌握马克思主义中国化的历程和理论成果，了解党的路线、方针和政策，确立中国特色社会主义的共同理想和信念，能自觉运用马克思主义的立场、观点和方法，提高分析解决现实问题的能力。</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5．形势与政策（32学时，1.0学分）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形势与政策》是面向普通高校大学生开设的思想政治理论课程。本课程以马克思列宁主义、毛泽东思想、邓小平理论、“三个代表”、科学发展观和习近平新时代中国特色社会主义重要思想为指导，以当前国内外重大的热点问题为契机，对大学生进行形势与政策教育，帮助学生认清国际国内形势，了解党和国家重大方针政策。本课程着重对大学生进行改革开放和社会主义现代化建设形势、任务和发展成就教党和国家重大方针政策、重大活动和重大改革措施的教育。</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6．体育（108学时，6.0学分）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体育与健康》是各个专业学生的必修公共课程。其任务是通过合理的体育教学和科学的体育锻炼过程，努力增强学生体质与健康，给学生以体育文化和健康知识，指导他们实践锻炼，养成终身体育的意识，培养学生中华传统美德。同时进行《学生体质健康标准》测试，以保证《学生体质健康标准》的落实。</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本课程主要内容包括田径、球类、形体健美操、中华传统养生功法（八段锦、太极拳、五禽戏等）及学生体质健康测试项目等。</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7．大学生心理健康教育（32学时，2.0学分）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《大学生心理健康 》是各专业的公共课程，其任务是以大学生心理素质的培养为主线，以提高大学生的心理素质为目的，以学生存在的主要心理问题为内容组织依据，力求通过通俗易懂的讲述，以促进学生的心理健康发展。重点是对心理健康知识的理解与运用上，目的在于提高大学生的自我调节和自我成长能力，并有助于他们社会能力、方法能力的形成。</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本课程的主要内容包括协调人际关系，增强适应社会生活的能力；认识与识别心理导常现象；大学生普通存在的、较为集中的心理问题等内容。</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8．大学生职业发展与就业指导（32学时，2.0学分）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大学生职业发展与就业指导》是各专业学生的必修公共课程,其任务是通过本课程的学习帮助学生建立职业发展意识，树立科学就业观；使学生掌握职业生涯规划的基本理论和方法；提升学生就业能力和综合素质；引领学生主动思考、探索，正确认识自我，提升内在素养和品质，从而有效安排大学生活，合理规划未来发展。</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本课程内容包括自我认知、认识社会、人职匹配、就业指导、创业教育等。</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9．创新与创业教育（34学时，2.0学分）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创新与创业教育》包括创新创业的关系、技术创新与创业、创业环境分析与创业者素质的要求、创办企业的知识、新创企业的管理、创业政策与法规、创业生涯的规划等方面的内容，旨在通过普及创新创业知识，提高大学生的创新创业意识，帮助有创业愿望的学生实现理想。</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10．信息技术（64学时，4.0学分）</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信息技术》是各专业学生的必修公共课程。其任务是通过该课程的学习，使学生掌握计算机操作的基本技能，具有文字和数据处理能力、信息获取、整理、加工能力，网上交互能力，以适应现代医疗单位对医护人员信息素养和计算机应用技术的要求，并为今后的进一步学习打下基础。</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本课程主要教学内容包括计算机的基础知识、常用操作系统的使用、文字处理软件的使用（Word、Excel、PowerPoint）、计算机网络的基本操作和使用等。</w:t>
      </w:r>
    </w:p>
    <w:p>
      <w:pPr>
        <w:spacing w:line="360" w:lineRule="auto"/>
        <w:ind w:left="420" w:leftChars="200" w:firstLine="480" w:firstLineChars="200"/>
        <w:rPr>
          <w:rFonts w:ascii="宋体" w:hAnsi="宋体" w:eastAsia="宋体" w:cs="宋体"/>
          <w:bCs/>
          <w:sz w:val="24"/>
        </w:rPr>
      </w:pPr>
      <w:r>
        <w:rPr>
          <w:rFonts w:hint="eastAsia" w:ascii="宋体" w:hAnsi="宋体" w:eastAsia="宋体" w:cs="宋体"/>
          <w:bCs/>
          <w:sz w:val="24"/>
        </w:rPr>
        <w:t>11.《劳动教育》（16学时 1.0学分）</w:t>
      </w:r>
      <w:r>
        <w:rPr>
          <w:rFonts w:hint="eastAsia" w:ascii="宋体" w:hAnsi="宋体" w:eastAsia="宋体" w:cs="宋体"/>
          <w:bCs/>
          <w:sz w:val="24"/>
        </w:rPr>
        <w:br w:type="textWrapping"/>
      </w:r>
      <w:r>
        <w:rPr>
          <w:rFonts w:hint="eastAsia" w:ascii="宋体" w:hAnsi="宋体" w:eastAsia="宋体" w:cs="宋体"/>
          <w:bCs/>
          <w:sz w:val="24"/>
        </w:rPr>
        <w:t>教学要求：本课程主要包括生产劳动、服务性劳动和日常生活劳动三个方面的知识、技能与价值观。让学生在工农业生产过程中直接经历物质财富的创造过程，学会使用工具，掌握相关技术，感受和体会平凡劳动中的伟大。让学生利用知识、技能等为他人和社会提供服务，在见习实习岗位上，提升服务意识，增强能力；在公益劳动、志愿服务中强化社会责任感。日常生活劳动教育立足个人生活事务处理，强化自立自强意识。</w:t>
      </w:r>
    </w:p>
    <w:p>
      <w:pPr>
        <w:spacing w:line="360" w:lineRule="auto"/>
        <w:ind w:left="420" w:leftChars="200" w:firstLine="480" w:firstLineChars="200"/>
        <w:rPr>
          <w:rFonts w:ascii="宋体" w:hAnsi="宋体" w:eastAsia="宋体" w:cs="宋体"/>
          <w:bCs/>
          <w:sz w:val="24"/>
        </w:rPr>
      </w:pPr>
      <w:r>
        <w:rPr>
          <w:rFonts w:hint="eastAsia" w:ascii="宋体" w:hAnsi="宋体" w:eastAsia="宋体" w:cs="宋体"/>
          <w:bCs/>
          <w:sz w:val="24"/>
        </w:rPr>
        <w:t>12.英语（52学时，3.0学分）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本课程以培养学生实际应用英语的能力为目标，侧重职场环境下语言交际能力的培养，使学生逐步提高用英语进行交流与沟通的能力。同时让学生能达到“全国高等学校英语能力考试A级或B级”的水平。使学生掌握有效的学习方法和策略，培养学生的学习兴趣和自主学习能力，提高学生的综合文化素养和跨文化交际意识，为提升学生的就业竞争力及未来的可持续发展打下必要的基础。</w:t>
      </w:r>
    </w:p>
    <w:p>
      <w:pPr>
        <w:spacing w:line="360" w:lineRule="auto"/>
        <w:ind w:left="420" w:leftChars="200" w:firstLine="480" w:firstLineChars="200"/>
        <w:rPr>
          <w:rFonts w:ascii="宋体" w:hAnsi="宋体" w:eastAsia="宋体" w:cs="宋体"/>
          <w:bCs/>
          <w:sz w:val="24"/>
        </w:rPr>
      </w:pPr>
      <w:r>
        <w:rPr>
          <w:rFonts w:hint="eastAsia" w:ascii="宋体" w:hAnsi="宋体" w:eastAsia="宋体" w:cs="宋体"/>
          <w:bCs/>
          <w:sz w:val="24"/>
        </w:rPr>
        <w:t>13.国家安全教育（16学时，1.0学分）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本课程重点围绕理解中华民族命运与国家关系，通过国家安全的重要性，我国新时代国家安全的形势与特点，总体国家安全观的基本内涵、重点领域和重大意义，以及相关法律法规的学习。让学生系统掌握总体国家安全观的内涵和精神实质，理解中国特色国家安全体系，树立国家安全底线思维，将国家安全意识转化为自觉行动，强化责任担当。</w:t>
      </w:r>
    </w:p>
    <w:p>
      <w:pPr>
        <w:spacing w:line="360" w:lineRule="auto"/>
        <w:ind w:firstLine="482" w:firstLineChars="200"/>
        <w:rPr>
          <w:rFonts w:ascii="宋体" w:hAnsi="宋体" w:eastAsia="宋体" w:cs="宋体"/>
          <w:b/>
          <w:bCs/>
          <w:sz w:val="24"/>
        </w:rPr>
      </w:pPr>
      <w:r>
        <w:rPr>
          <w:rFonts w:hint="eastAsia" w:ascii="宋体" w:hAnsi="宋体" w:eastAsia="宋体" w:cs="宋体"/>
          <w:b/>
          <w:bCs/>
          <w:sz w:val="24"/>
        </w:rPr>
        <w:t>（二）专业基础课模块（</w:t>
      </w:r>
      <w:r>
        <w:rPr>
          <w:rFonts w:hint="eastAsia" w:ascii="宋体" w:hAnsi="宋体" w:eastAsia="宋体" w:cs="宋体"/>
          <w:b/>
          <w:sz w:val="24"/>
        </w:rPr>
        <w:t>学时400，学分26</w:t>
      </w:r>
      <w:r>
        <w:rPr>
          <w:rFonts w:hint="eastAsia" w:ascii="宋体" w:hAnsi="宋体" w:eastAsia="宋体" w:cs="宋体"/>
          <w:b/>
          <w:bCs/>
          <w:sz w:val="24"/>
        </w:rPr>
        <w:t>）</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1．人体解剖与生理（48学时，3.0学分）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教学要求：通过教学使学生获得正常人体形态结构和功能的基本知识和基本理论，掌握人体主要器官的位置、形态、结构以及形态结构与功能的相互关系。</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2．微生物与免疫学（32学时，2.0学分 ）</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其任务是通过本课程的学习，学生掌握与医学有关的病源生物与免疫学基础的基本内容。本课程的任务是使学生掌握此课程的基本理论和基本技能，主要内容包括医学微生物、免疫学基础和人体寄生虫三大部分。</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3. 药用基础化学（64学时，4.0学分 ）</w:t>
      </w:r>
    </w:p>
    <w:p>
      <w:pPr>
        <w:pStyle w:val="11"/>
        <w:spacing w:line="360" w:lineRule="auto"/>
        <w:ind w:firstLine="480" w:firstLineChars="200"/>
        <w:rPr>
          <w:rFonts w:ascii="宋体" w:hAnsi="宋体" w:eastAsia="宋体" w:cs="宋体"/>
          <w:bCs/>
          <w:sz w:val="24"/>
        </w:rPr>
      </w:pPr>
      <w:r>
        <w:rPr>
          <w:rFonts w:hint="eastAsia" w:ascii="宋体" w:hAnsi="宋体" w:eastAsia="宋体" w:cs="宋体"/>
          <w:bCs/>
          <w:sz w:val="24"/>
        </w:rPr>
        <w:t>《药用化学基础》主要学习无机化学、化学分析和有机化学的基本理论和基本实验技能，掌握化学基础知识、化学分析基本方法、有机化学基础知识及基础化学实验技能，能够运用药用化学基础原理及方法对常见化学药品进行定性、定量分析，能够熟悉有机化学在药物设计、合成和构效中的作用，能了解化学分析方法在药物的检验、分析和使用中的作用，培养学生独立思考的学习能力和熟练的操作技能，为后续药学专业核心课程的学习奠定基础。</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4.中医学基础（48学时，3.0学分）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其任务是通过本课程的学习，获得中医学基本的整体观念与辨证论知识、中医的基本思维方法；阴阳、五行学说；中医基本理论及基本知识的藏象、精气血津液、体质、病因、发病、病机；对疾病的防治原则。使学生为继续学习中药学、方剂学各科打下基础。</w:t>
      </w:r>
    </w:p>
    <w:p>
      <w:pPr>
        <w:pStyle w:val="4"/>
        <w:spacing w:line="360" w:lineRule="auto"/>
        <w:ind w:firstLine="480" w:firstLineChars="200"/>
        <w:rPr>
          <w:rFonts w:ascii="宋体" w:hAnsi="宋体" w:eastAsia="宋体" w:cs="宋体"/>
          <w:b w:val="0"/>
          <w:bCs/>
          <w:sz w:val="24"/>
        </w:rPr>
      </w:pPr>
      <w:bookmarkStart w:id="0" w:name="_Toc525381582"/>
      <w:r>
        <w:rPr>
          <w:rFonts w:hint="eastAsia" w:ascii="宋体" w:hAnsi="宋体" w:eastAsia="宋体" w:cs="宋体"/>
          <w:b w:val="0"/>
          <w:bCs/>
          <w:sz w:val="24"/>
        </w:rPr>
        <w:t>5.</w:t>
      </w:r>
      <w:bookmarkEnd w:id="0"/>
      <w:r>
        <w:rPr>
          <w:rFonts w:hint="eastAsia" w:ascii="宋体" w:hAnsi="宋体" w:eastAsia="宋体" w:cs="宋体"/>
          <w:b w:val="0"/>
          <w:bCs/>
          <w:sz w:val="24"/>
        </w:rPr>
        <w:t>中药学（48学时，3.0学分 ）</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教学要求：其任务是通过本课程的学习，学生掌握400种常用中药的功效分类及其性味、归经、功效、主治、用法用量、使用注意等基本知识。</w:t>
      </w:r>
    </w:p>
    <w:p>
      <w:pPr>
        <w:pStyle w:val="4"/>
        <w:spacing w:line="360" w:lineRule="auto"/>
        <w:ind w:firstLine="480" w:firstLineChars="200"/>
        <w:rPr>
          <w:rFonts w:ascii="宋体" w:hAnsi="宋体" w:eastAsia="宋体" w:cs="宋体"/>
          <w:b w:val="0"/>
          <w:bCs/>
          <w:sz w:val="24"/>
        </w:rPr>
      </w:pPr>
      <w:bookmarkStart w:id="1" w:name="_Toc525381584"/>
      <w:bookmarkStart w:id="2" w:name="_Toc525381592"/>
      <w:bookmarkStart w:id="3" w:name="_Toc525381594"/>
      <w:r>
        <w:rPr>
          <w:rFonts w:hint="eastAsia" w:ascii="宋体" w:hAnsi="宋体" w:eastAsia="宋体" w:cs="宋体"/>
          <w:b w:val="0"/>
          <w:bCs/>
          <w:sz w:val="24"/>
        </w:rPr>
        <w:t>6.药用植物学（64学时，4.0学分）</w:t>
      </w:r>
      <w:bookmarkEnd w:id="1"/>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其任务是通过本课程的学习，学生药用植物形态、解剖特征、生长发育基本规律、植物进化、药用植物与环境之间的关系以及药用植物分类等，能利用检索表对常见植物进行检索，能制作药用植物标本。</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本课程主要内容包括植物形态学、植物解剖学、植物分类学理论知识，常见药用植物种类的原植物来源、形态学特征、产地、药用部位及功效等。</w:t>
      </w:r>
    </w:p>
    <w:bookmarkEnd w:id="2"/>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7.中药化学（64学时，4.0学分）</w:t>
      </w:r>
      <w:bookmarkEnd w:id="3"/>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通过本课程的学习，学生掌握常用中药提取方法及分析鉴别方法的基本操作技能，掌握中药中各种不同成分的提取、分离、鉴定方法，加深对理论课所讲内容的理解，培养学生的观察能力、动手能力、分析问题和解决问题的能力。</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8.药事管理与法规（16学时，1.0学分）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其任务是通过本课程的学习，学生掌握药品管理法及实施条例的内容、药事管理体制与组织机构、药品注册管理、药品使用管理、特殊管理药品和管理办法，了解中药管理的有关规定以及医药知识产权保护、医疗器械管理的相关知识。</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9.中药药理（16学时，1.0学分）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通过本课程的学习，学生掌握中药药性的现代科学内涵及代表药功效主治的药理学基础、影响中药作用的因素，熟悉中药配伍、中药药效学、中药药动学、中药毒理学的研究方法。了解药理实验的一般方法、技能及其他与工作岗位相适应的知识和技能。</w:t>
      </w:r>
    </w:p>
    <w:p>
      <w:pPr>
        <w:spacing w:line="360" w:lineRule="auto"/>
        <w:ind w:firstLine="482" w:firstLineChars="200"/>
        <w:rPr>
          <w:rFonts w:ascii="宋体" w:hAnsi="宋体" w:eastAsia="宋体" w:cs="宋体"/>
          <w:sz w:val="24"/>
        </w:rPr>
      </w:pPr>
      <w:r>
        <w:rPr>
          <w:rFonts w:hint="eastAsia" w:ascii="宋体" w:hAnsi="宋体" w:eastAsia="宋体" w:cs="宋体"/>
          <w:b/>
          <w:bCs/>
          <w:sz w:val="24"/>
        </w:rPr>
        <w:t>（三）专业核心课模块（</w:t>
      </w:r>
      <w:r>
        <w:rPr>
          <w:rFonts w:hint="eastAsia" w:ascii="宋体" w:hAnsi="宋体" w:eastAsia="宋体" w:cs="宋体"/>
          <w:b/>
          <w:sz w:val="24"/>
        </w:rPr>
        <w:t>学时334，学分21</w:t>
      </w:r>
      <w:r>
        <w:rPr>
          <w:rFonts w:hint="eastAsia" w:ascii="宋体" w:hAnsi="宋体" w:eastAsia="宋体" w:cs="宋体"/>
          <w:b/>
          <w:bCs/>
          <w:sz w:val="24"/>
        </w:rPr>
        <w:t>）</w:t>
      </w:r>
    </w:p>
    <w:p>
      <w:pPr>
        <w:pStyle w:val="4"/>
        <w:spacing w:line="360" w:lineRule="auto"/>
        <w:ind w:firstLine="480" w:firstLineChars="200"/>
        <w:rPr>
          <w:rFonts w:ascii="宋体" w:hAnsi="宋体" w:eastAsia="宋体" w:cs="宋体"/>
          <w:b w:val="0"/>
          <w:bCs/>
          <w:sz w:val="24"/>
        </w:rPr>
      </w:pPr>
      <w:bookmarkStart w:id="4" w:name="_Toc525381595"/>
      <w:r>
        <w:rPr>
          <w:rFonts w:hint="eastAsia" w:ascii="宋体" w:hAnsi="宋体" w:eastAsia="宋体" w:cs="宋体"/>
          <w:b w:val="0"/>
          <w:bCs/>
          <w:sz w:val="24"/>
        </w:rPr>
        <w:t>1.中药药剂技术（ 88学时，5.5学分）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通过本课程的学习，学生熟悉各种常用剂型的中药常用剂型的概念、特点、工制备工艺和质量控制等基础理论知识和技能，掌握现代药剂学的有关理论与技术，掌握中药调剂的基本操作技能，会正确使用中药调剂与制剂常用设备，熟悉药剂常用辅料，了解国内外药剂学研究新进展。能查阅药典等工具书，解决实际工作中常见的简单问题。</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2.中药炮制技术</w:t>
      </w:r>
      <w:bookmarkStart w:id="5" w:name="OLE_LINK11"/>
      <w:r>
        <w:rPr>
          <w:rFonts w:hint="eastAsia" w:ascii="宋体" w:hAnsi="宋体" w:eastAsia="宋体" w:cs="宋体"/>
          <w:b w:val="0"/>
          <w:bCs/>
          <w:sz w:val="24"/>
        </w:rPr>
        <w:t>（48学时，3.0学分）</w:t>
      </w:r>
      <w:bookmarkEnd w:id="5"/>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教学要求：通过本课程的学习，学生掌握中药炮制的目的、常用炮制方法、常用辅料及其应用要点等理论知识，熟悉常用中药炮制品的质量规格、炮制作用及炮制研究等，掌握常用炮制方法的基本操作技能。</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3.中药鉴定技术</w:t>
      </w:r>
      <w:bookmarkEnd w:id="4"/>
      <w:r>
        <w:rPr>
          <w:rFonts w:hint="eastAsia" w:ascii="宋体" w:hAnsi="宋体" w:eastAsia="宋体" w:cs="宋体"/>
          <w:b w:val="0"/>
          <w:bCs/>
          <w:sz w:val="24"/>
        </w:rPr>
        <w:t>（ 88学时，5.5学分）</w:t>
      </w:r>
    </w:p>
    <w:p>
      <w:pPr>
        <w:spacing w:line="360" w:lineRule="auto"/>
        <w:ind w:firstLine="480" w:firstLineChars="200"/>
        <w:rPr>
          <w:rFonts w:ascii="宋体" w:hAnsi="宋体" w:eastAsia="宋体" w:cs="宋体"/>
          <w:bCs/>
          <w:sz w:val="24"/>
        </w:rPr>
      </w:pPr>
      <w:bookmarkStart w:id="6" w:name="_Toc525381596"/>
      <w:r>
        <w:rPr>
          <w:rFonts w:hint="eastAsia" w:ascii="宋体" w:hAnsi="宋体" w:eastAsia="宋体" w:cs="宋体"/>
          <w:bCs/>
          <w:sz w:val="24"/>
        </w:rPr>
        <w:t>教学要求：通过本课程的学习，学生掌握中药鉴定的基本概念、目的、依据、方法等基础知识，掌握中药性状鉴定和显微鉴定的必需理论知识和常用中药的性状鉴定技术及显微鉴定的基本操作技术；了解常用中药的来源、产地、采制、贮藏等基本知识。培养学生鉴定和研究中药品种和质量的基本操作技能，熟悉中药鉴定的规范化操作技术。</w:t>
      </w:r>
    </w:p>
    <w:bookmarkEnd w:id="6"/>
    <w:p>
      <w:pPr>
        <w:pStyle w:val="4"/>
        <w:spacing w:line="360" w:lineRule="auto"/>
        <w:ind w:firstLine="480" w:firstLineChars="200"/>
        <w:rPr>
          <w:rFonts w:ascii="宋体" w:hAnsi="宋体" w:eastAsia="宋体" w:cs="宋体"/>
          <w:b w:val="0"/>
          <w:bCs/>
          <w:sz w:val="24"/>
        </w:rPr>
      </w:pPr>
      <w:bookmarkStart w:id="7" w:name="OLE_LINK25"/>
      <w:r>
        <w:rPr>
          <w:rFonts w:hint="eastAsia" w:ascii="宋体" w:hAnsi="宋体" w:eastAsia="宋体" w:cs="宋体"/>
          <w:b w:val="0"/>
          <w:bCs/>
          <w:sz w:val="24"/>
        </w:rPr>
        <w:t>4.</w:t>
      </w:r>
      <w:bookmarkStart w:id="8" w:name="OLE_LINK33"/>
      <w:r>
        <w:rPr>
          <w:rFonts w:hint="eastAsia" w:ascii="宋体" w:hAnsi="宋体" w:eastAsia="宋体" w:cs="宋体"/>
          <w:b w:val="0"/>
          <w:bCs/>
          <w:sz w:val="24"/>
        </w:rPr>
        <w:t>中药制剂检测</w:t>
      </w:r>
      <w:bookmarkEnd w:id="7"/>
      <w:bookmarkEnd w:id="8"/>
      <w:r>
        <w:rPr>
          <w:rFonts w:hint="eastAsia" w:ascii="宋体" w:hAnsi="宋体" w:eastAsia="宋体" w:cs="宋体"/>
          <w:b w:val="0"/>
          <w:bCs/>
          <w:sz w:val="24"/>
        </w:rPr>
        <w:t>技术（48学时，3.0学分）</w:t>
      </w:r>
    </w:p>
    <w:p>
      <w:pPr>
        <w:spacing w:line="360" w:lineRule="auto"/>
        <w:ind w:firstLine="480" w:firstLineChars="200"/>
        <w:rPr>
          <w:rFonts w:ascii="宋体" w:hAnsi="宋体" w:eastAsia="宋体" w:cs="宋体"/>
          <w:bCs/>
          <w:sz w:val="24"/>
        </w:rPr>
      </w:pPr>
      <w:bookmarkStart w:id="9" w:name="OLE_LINK5"/>
      <w:r>
        <w:rPr>
          <w:rFonts w:hint="eastAsia" w:ascii="宋体" w:hAnsi="宋体" w:eastAsia="宋体" w:cs="宋体"/>
          <w:bCs/>
          <w:sz w:val="24"/>
        </w:rPr>
        <w:t>教学要求：通过本课程的学习，学生掌握中药制剂检验的基础知识、中药制剂质量和质量标准，具备熟练进行中药及制剂的鉴别、中药及制剂的杂质检查、中药及制剂的含量测定</w:t>
      </w:r>
      <w:bookmarkEnd w:id="9"/>
      <w:r>
        <w:rPr>
          <w:rFonts w:hint="eastAsia" w:ascii="宋体" w:hAnsi="宋体" w:eastAsia="宋体" w:cs="宋体"/>
          <w:bCs/>
          <w:sz w:val="24"/>
        </w:rPr>
        <w:t>等基本操作技能。了解中药制剂检测的新技术。</w:t>
      </w:r>
    </w:p>
    <w:p>
      <w:pPr>
        <w:pStyle w:val="4"/>
        <w:spacing w:line="360" w:lineRule="auto"/>
        <w:ind w:firstLine="480" w:firstLineChars="200"/>
        <w:rPr>
          <w:rFonts w:ascii="宋体" w:hAnsi="宋体" w:eastAsia="宋体" w:cs="宋体"/>
          <w:b w:val="0"/>
          <w:bCs/>
          <w:sz w:val="24"/>
        </w:rPr>
      </w:pPr>
      <w:bookmarkStart w:id="10" w:name="_Toc525381598"/>
      <w:r>
        <w:rPr>
          <w:rFonts w:hint="eastAsia" w:ascii="宋体" w:hAnsi="宋体" w:eastAsia="宋体" w:cs="宋体"/>
          <w:b w:val="0"/>
          <w:bCs/>
          <w:sz w:val="24"/>
        </w:rPr>
        <w:t>5.医药市场营销（16学时，1.0学分）</w:t>
      </w:r>
    </w:p>
    <w:p>
      <w:pPr>
        <w:spacing w:line="360" w:lineRule="auto"/>
        <w:ind w:firstLine="480" w:firstLineChars="200"/>
        <w:rPr>
          <w:rFonts w:ascii="宋体" w:hAnsi="宋体" w:eastAsia="宋体" w:cs="宋体"/>
          <w:bCs/>
          <w:kern w:val="0"/>
          <w:sz w:val="24"/>
        </w:rPr>
      </w:pPr>
      <w:r>
        <w:rPr>
          <w:rFonts w:hint="eastAsia" w:ascii="宋体" w:hAnsi="宋体" w:eastAsia="宋体" w:cs="宋体"/>
          <w:bCs/>
          <w:kern w:val="0"/>
          <w:sz w:val="24"/>
        </w:rPr>
        <w:t>教学要求：通过本课程的学习，学生获得药品市场的理论、营销环境及市场细分的原理、药品市场调查与预测、药品市场营销的组织与实施控制以及物流管理等方面的知识，熟悉先进有效的营销理论，具备从事药品营销工作所必需的营销学基本知识和基本技能。</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6.中药加工贮藏与养护（16学时，1.0学分）</w:t>
      </w:r>
    </w:p>
    <w:p>
      <w:pPr>
        <w:spacing w:line="360" w:lineRule="auto"/>
        <w:ind w:firstLine="480" w:firstLineChars="200"/>
        <w:rPr>
          <w:rFonts w:ascii="宋体" w:hAnsi="宋体" w:eastAsia="宋体" w:cs="宋体"/>
          <w:bCs/>
          <w:sz w:val="24"/>
        </w:rPr>
      </w:pPr>
      <w:r>
        <w:rPr>
          <w:rFonts w:hint="eastAsia" w:ascii="宋体" w:hAnsi="宋体" w:eastAsia="宋体" w:cs="宋体"/>
          <w:bCs/>
          <w:kern w:val="0"/>
          <w:sz w:val="24"/>
        </w:rPr>
        <w:t>教学要求：通过本课程的学习，</w:t>
      </w:r>
      <w:r>
        <w:rPr>
          <w:rFonts w:hint="eastAsia" w:ascii="宋体" w:hAnsi="宋体" w:eastAsia="宋体" w:cs="宋体"/>
          <w:bCs/>
          <w:sz w:val="24"/>
        </w:rPr>
        <w:t>要求掌握影响中药变质的因素、中药变异现象的常见类型及其养护方法；中药的包装和中药入库前后的检査；中药仓库的分类、功能特点与现代仓贮设备;中药养护常用方法和现代养护新技术，常见中、西药的储存养护等内容。</w:t>
      </w: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8.专业技能综合实训（30学时，2.0学分）</w:t>
      </w:r>
    </w:p>
    <w:p>
      <w:pPr>
        <w:spacing w:line="360" w:lineRule="auto"/>
        <w:ind w:firstLine="480" w:firstLineChars="200"/>
        <w:rPr>
          <w:rFonts w:ascii="宋体" w:hAnsi="宋体" w:eastAsia="宋体" w:cs="宋体"/>
          <w:bCs/>
          <w:sz w:val="24"/>
        </w:rPr>
      </w:pPr>
      <w:r>
        <w:rPr>
          <w:rFonts w:hint="eastAsia" w:ascii="宋体" w:hAnsi="宋体" w:eastAsia="宋体" w:cs="宋体"/>
          <w:bCs/>
          <w:sz w:val="24"/>
        </w:rPr>
        <w:t>药用植物识别技术：在学习《药用植物学》理论知识的基础上，通过野外认采实训，使学生能尽快识别常用的药用植物品种约200种。</w:t>
      </w:r>
    </w:p>
    <w:p>
      <w:pPr>
        <w:spacing w:line="360" w:lineRule="auto"/>
        <w:ind w:firstLine="480" w:firstLineChars="200"/>
        <w:rPr>
          <w:rFonts w:ascii="宋体" w:hAnsi="宋体" w:eastAsia="宋体" w:cs="宋体"/>
          <w:sz w:val="24"/>
        </w:rPr>
      </w:pPr>
      <w:r>
        <w:rPr>
          <w:rFonts w:hint="eastAsia" w:ascii="宋体" w:hAnsi="宋体" w:eastAsia="宋体" w:cs="宋体"/>
          <w:sz w:val="24"/>
        </w:rPr>
        <w:t>中药学综合技能实训：通过中药鉴别技能、中药调剂技能、中药显微鉴别技能、中药炮制技能及综合应用中药相关知识能力的综合强化训练，使学生复习巩固所学的专业技能，尽快进入跟岗实习阶段的学习状态。</w:t>
      </w:r>
    </w:p>
    <w:p>
      <w:pPr>
        <w:spacing w:line="360" w:lineRule="auto"/>
        <w:ind w:firstLine="480" w:firstLineChars="200"/>
        <w:rPr>
          <w:rFonts w:ascii="宋体" w:hAnsi="宋体" w:eastAsia="宋体" w:cs="宋体"/>
          <w:sz w:val="24"/>
        </w:rPr>
      </w:pPr>
      <w:r>
        <w:rPr>
          <w:rFonts w:hint="eastAsia" w:ascii="宋体" w:hAnsi="宋体" w:eastAsia="宋体" w:cs="宋体"/>
          <w:sz w:val="24"/>
        </w:rPr>
        <w:t>中药制剂与检测技能实训：通过综合训练，使学生掌握常用制剂的制备方法以及制剂的检测方法等操作技能。</w:t>
      </w:r>
    </w:p>
    <w:bookmarkEnd w:id="10"/>
    <w:p>
      <w:pPr>
        <w:spacing w:line="360" w:lineRule="auto"/>
        <w:ind w:firstLine="482" w:firstLineChars="200"/>
        <w:rPr>
          <w:rFonts w:ascii="宋体" w:hAnsi="宋体" w:eastAsia="宋体" w:cs="宋体"/>
          <w:sz w:val="24"/>
        </w:rPr>
      </w:pPr>
      <w:r>
        <w:rPr>
          <w:rFonts w:hint="eastAsia" w:ascii="宋体" w:hAnsi="宋体" w:eastAsia="宋体" w:cs="宋体"/>
          <w:b/>
          <w:bCs/>
          <w:sz w:val="24"/>
        </w:rPr>
        <w:t>（四）选修课模块（</w:t>
      </w:r>
      <w:r>
        <w:rPr>
          <w:rFonts w:hint="eastAsia" w:ascii="宋体" w:hAnsi="宋体" w:eastAsia="宋体" w:cs="宋体"/>
          <w:b/>
          <w:sz w:val="24"/>
        </w:rPr>
        <w:t>学时320，学分20.0</w:t>
      </w:r>
      <w:r>
        <w:rPr>
          <w:rFonts w:hint="eastAsia" w:ascii="宋体" w:hAnsi="宋体" w:eastAsia="宋体" w:cs="宋体"/>
          <w:b/>
          <w:bCs/>
          <w:sz w:val="24"/>
        </w:rPr>
        <w:t>）</w:t>
      </w:r>
    </w:p>
    <w:p>
      <w:pPr>
        <w:spacing w:line="360" w:lineRule="auto"/>
        <w:ind w:firstLine="482" w:firstLineChars="200"/>
        <w:rPr>
          <w:rFonts w:ascii="宋体" w:hAnsi="宋体" w:eastAsia="宋体" w:cs="宋体"/>
          <w:sz w:val="24"/>
        </w:rPr>
      </w:pPr>
      <w:r>
        <w:rPr>
          <w:rFonts w:hint="eastAsia" w:ascii="宋体" w:hAnsi="宋体" w:eastAsia="宋体" w:cs="宋体"/>
          <w:b/>
          <w:bCs/>
          <w:sz w:val="24"/>
        </w:rPr>
        <w:t>（四）选修课模块（</w:t>
      </w:r>
      <w:r>
        <w:rPr>
          <w:rFonts w:hint="eastAsia" w:ascii="宋体" w:hAnsi="宋体" w:eastAsia="宋体" w:cs="宋体"/>
          <w:b/>
          <w:sz w:val="24"/>
        </w:rPr>
        <w:t>学时320，学分20.0</w:t>
      </w:r>
      <w:r>
        <w:rPr>
          <w:rFonts w:hint="eastAsia" w:ascii="宋体" w:hAnsi="宋体" w:eastAsia="宋体" w:cs="宋体"/>
          <w:b/>
          <w:bCs/>
          <w:sz w:val="24"/>
        </w:rPr>
        <w:t>）</w:t>
      </w:r>
    </w:p>
    <w:p>
      <w:pPr>
        <w:spacing w:line="360" w:lineRule="auto"/>
        <w:ind w:firstLine="480" w:firstLineChars="200"/>
        <w:rPr>
          <w:rFonts w:ascii="宋体" w:hAnsi="宋体" w:eastAsia="宋体" w:cs="宋体"/>
          <w:sz w:val="24"/>
        </w:rPr>
      </w:pPr>
      <w:r>
        <w:rPr>
          <w:rFonts w:hint="eastAsia" w:ascii="宋体" w:hAnsi="宋体" w:eastAsia="宋体" w:cs="宋体"/>
          <w:sz w:val="24"/>
        </w:rPr>
        <w:t>1.《中医药与中华传统文化》（16学时，1.0学分）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通过本课程的学习使学生对中医药有比较清醒、客观的认识，既为我们先辈创造这一人类宝贵财富而自豪，又能醒认识到在科学技术不断进步、经济飞速发展、文化多元化发展的今天，这一传统学科如何面对现实，继续发挥其独特优势，为中华民族伟大复兴和世界人民健康发挥更大作用。既提供了从中医药学了解中华传统文化的视角，又让学习者从中华传统文化大背景下思考中医药学的历史和未来。它将有利于学生从正反两方面认识我国传统文化和科技成果，有利于学生独立思考问题能力和批判地继承能力的培养。</w:t>
      </w:r>
    </w:p>
    <w:p>
      <w:pPr>
        <w:spacing w:line="360" w:lineRule="auto"/>
        <w:ind w:firstLine="480" w:firstLineChars="200"/>
        <w:rPr>
          <w:rFonts w:ascii="宋体" w:hAnsi="宋体" w:eastAsia="宋体" w:cs="宋体"/>
          <w:sz w:val="24"/>
        </w:rPr>
      </w:pPr>
      <w:r>
        <w:rPr>
          <w:rFonts w:hint="eastAsia" w:ascii="宋体" w:hAnsi="宋体" w:eastAsia="宋体" w:cs="宋体"/>
          <w:kern w:val="0"/>
          <w:sz w:val="24"/>
        </w:rPr>
        <w:t>2.艺术鉴赏</w:t>
      </w:r>
      <w:r>
        <w:rPr>
          <w:rFonts w:hint="eastAsia" w:ascii="宋体" w:hAnsi="宋体" w:eastAsia="宋体" w:cs="宋体"/>
          <w:sz w:val="24"/>
        </w:rPr>
        <w:t>（16学时，1.0学分）</w:t>
      </w:r>
    </w:p>
    <w:p>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kern w:val="0"/>
          <w:sz w:val="24"/>
        </w:rPr>
        <w:t>通过</w:t>
      </w:r>
      <w:r>
        <w:rPr>
          <w:rFonts w:hint="eastAsia" w:ascii="宋体" w:hAnsi="宋体" w:eastAsia="宋体" w:cs="宋体"/>
          <w:sz w:val="24"/>
        </w:rPr>
        <w:t>对课程的学习，使学生对艺术的赏能力不仅仅停留在艺术作品的表象，而是要从审美心理出发去感受作品内涵，进而达到欣赏者和艺术家、个人审美经验与和普遍经验的交融，从而提升学生的艺术修养。</w:t>
      </w:r>
    </w:p>
    <w:p>
      <w:pPr>
        <w:adjustRightInd w:val="0"/>
        <w:snapToGrid w:val="0"/>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3.双创训练营（32学时，2学分）</w:t>
      </w:r>
    </w:p>
    <w:p>
      <w:pPr>
        <w:adjustRightInd w:val="0"/>
        <w:snapToGrid w:val="0"/>
        <w:spacing w:line="360" w:lineRule="auto"/>
        <w:ind w:firstLine="480" w:firstLineChars="200"/>
        <w:rPr>
          <w:rFonts w:ascii="宋体" w:hAnsi="宋体" w:eastAsia="宋体" w:cs="宋体"/>
          <w:kern w:val="0"/>
          <w:sz w:val="24"/>
        </w:rPr>
      </w:pPr>
      <w:r>
        <w:rPr>
          <w:rFonts w:hint="eastAsia" w:ascii="宋体" w:hAnsi="宋体" w:eastAsia="宋体" w:cs="宋体"/>
          <w:sz w:val="24"/>
        </w:rPr>
        <w:t>教学要求：将创新创业课程与创新创业实践活动相结合，开发大学生潜能，务实服务大学生创新创业，激发大学生的“双创”意识、培养大学生的“双创”能力、拓展大学生“双创”视野，在实训过程中能实践双创项目准备过程，课程结束后能在老师的指导下完成双创项目的构建</w:t>
      </w:r>
    </w:p>
    <w:p>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4.应用写作</w:t>
      </w:r>
      <w:r>
        <w:rPr>
          <w:rFonts w:hint="eastAsia" w:ascii="宋体" w:hAnsi="宋体" w:eastAsia="宋体" w:cs="宋体"/>
          <w:sz w:val="24"/>
        </w:rPr>
        <w:t>（16学时，1.0学分）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教学要求：通过本课程的学习，使学生掌握</w:t>
      </w:r>
      <w:r>
        <w:fldChar w:fldCharType="begin"/>
      </w:r>
      <w:r>
        <w:instrText xml:space="preserve"> HYPERLINK "http://baike.baidu.com/view/1955183.htm" \t "http://baike.baidu.com/_blank" </w:instrText>
      </w:r>
      <w:r>
        <w:fldChar w:fldCharType="separate"/>
      </w:r>
      <w:r>
        <w:rPr>
          <w:rFonts w:hint="eastAsia" w:ascii="宋体" w:hAnsi="宋体" w:eastAsia="宋体" w:cs="宋体"/>
          <w:sz w:val="24"/>
        </w:rPr>
        <w:t>实用写作</w:t>
      </w:r>
      <w:r>
        <w:rPr>
          <w:rFonts w:hint="eastAsia" w:ascii="宋体" w:hAnsi="宋体" w:eastAsia="宋体" w:cs="宋体"/>
          <w:sz w:val="24"/>
        </w:rPr>
        <w:fldChar w:fldCharType="end"/>
      </w:r>
      <w:r>
        <w:rPr>
          <w:rFonts w:hint="eastAsia" w:ascii="宋体" w:hAnsi="宋体" w:eastAsia="宋体" w:cs="宋体"/>
          <w:sz w:val="24"/>
        </w:rPr>
        <w:t>的基本原则，掌握实用写作的基本特点、规律及不同写作文体的写格式要求及写作技巧。</w:t>
      </w:r>
    </w:p>
    <w:p>
      <w:pPr>
        <w:spacing w:line="360" w:lineRule="auto"/>
        <w:ind w:firstLine="480" w:firstLineChars="200"/>
        <w:rPr>
          <w:rFonts w:ascii="宋体" w:hAnsi="宋体" w:eastAsia="宋体" w:cs="宋体"/>
          <w:sz w:val="24"/>
        </w:rPr>
      </w:pPr>
      <w:r>
        <w:rPr>
          <w:rFonts w:hint="eastAsia" w:ascii="宋体" w:hAnsi="宋体" w:eastAsia="宋体" w:cs="宋体"/>
          <w:kern w:val="0"/>
          <w:sz w:val="24"/>
        </w:rPr>
        <w:t>5.经典诵读</w:t>
      </w:r>
      <w:r>
        <w:rPr>
          <w:rFonts w:hint="eastAsia" w:ascii="宋体" w:hAnsi="宋体" w:eastAsia="宋体" w:cs="宋体"/>
          <w:sz w:val="24"/>
        </w:rPr>
        <w:t>（16学时，1.0学分）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本课程的主要内容有中国历史、文学概要、文化传统及部分精选作品等。通过本课程的学习，使学生对所选作品的熟读和思考，通过教师的讲授指导，掌握较完整、全面的社会、政治、经济的发展知识，使学生学会能懂能解会赏会评等能力，达到对学生的思想启迪、道德熏陶。</w:t>
      </w:r>
    </w:p>
    <w:p>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6.</w:t>
      </w:r>
      <w:r>
        <w:rPr>
          <w:rFonts w:hint="eastAsia" w:ascii="宋体" w:hAnsi="宋体" w:eastAsia="宋体" w:cs="宋体"/>
          <w:kern w:val="0"/>
          <w:sz w:val="24"/>
        </w:rPr>
        <w:t>医患沟通</w:t>
      </w:r>
      <w:r>
        <w:rPr>
          <w:rFonts w:hint="eastAsia" w:ascii="宋体" w:hAnsi="宋体" w:eastAsia="宋体" w:cs="宋体"/>
          <w:sz w:val="24"/>
        </w:rPr>
        <w:t>（16学时，1.0学分）</w:t>
      </w:r>
    </w:p>
    <w:p>
      <w:pPr>
        <w:adjustRightInd w:val="0"/>
        <w:snapToGrid w:val="0"/>
        <w:spacing w:line="360" w:lineRule="auto"/>
        <w:ind w:firstLine="480" w:firstLineChars="200"/>
        <w:rPr>
          <w:rFonts w:ascii="宋体" w:hAnsi="宋体" w:eastAsia="宋体" w:cs="宋体"/>
          <w:kern w:val="0"/>
          <w:sz w:val="24"/>
        </w:rPr>
      </w:pPr>
      <w:r>
        <w:rPr>
          <w:rFonts w:hint="eastAsia" w:ascii="宋体" w:hAnsi="宋体" w:eastAsia="宋体" w:cs="宋体"/>
          <w:sz w:val="24"/>
        </w:rPr>
        <w:t>通过本课程的学习，使学生掌握沟通能力和生活、学习礼仪素养，使其能够和患者、患者家属快乐相处。本课程的主要内容有认识自我及人际沟通技巧、处理压力的原则方法、团队合作的技巧及处理医患冲突的办法等</w:t>
      </w:r>
    </w:p>
    <w:p>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kern w:val="0"/>
          <w:sz w:val="24"/>
        </w:rPr>
        <w:t>7.中国茶文化与茶健康</w:t>
      </w:r>
      <w:r>
        <w:rPr>
          <w:rFonts w:hint="eastAsia" w:ascii="宋体" w:hAnsi="宋体" w:eastAsia="宋体" w:cs="宋体"/>
          <w:sz w:val="24"/>
        </w:rPr>
        <w:t xml:space="preserve">（16学时，1.0学分）  </w:t>
      </w:r>
    </w:p>
    <w:p>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以传统中华茶文化和现代茶科学研究为本体，诠释了中华茶的发展、传播的历史和其中体现出来的人文精神。本课程说古论今、通俗易懂，融知识性、趣味性、科学性为一体，使受众在轻松、愉快的氛围中获得知识，提高修养。</w:t>
      </w:r>
    </w:p>
    <w:p>
      <w:pPr>
        <w:spacing w:line="360" w:lineRule="auto"/>
        <w:ind w:firstLine="480" w:firstLineChars="200"/>
        <w:rPr>
          <w:rFonts w:ascii="宋体" w:hAnsi="宋体" w:eastAsia="宋体" w:cs="宋体"/>
          <w:sz w:val="24"/>
        </w:rPr>
      </w:pPr>
      <w:r>
        <w:rPr>
          <w:rFonts w:hint="eastAsia" w:ascii="宋体" w:hAnsi="宋体" w:eastAsia="宋体" w:cs="宋体"/>
          <w:sz w:val="24"/>
        </w:rPr>
        <w:t>8.药用植物识别技术（16学时，1.0学分）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本课程是《药用植物学》的实践课程，是在学习药用植物学知识后，通过野外实践认采进一步</w:t>
      </w:r>
      <w:r>
        <w:rPr>
          <w:rFonts w:hint="eastAsia" w:ascii="宋体" w:hAnsi="宋体" w:eastAsia="宋体" w:cs="宋体"/>
          <w:sz w:val="24"/>
          <w:shd w:val="clear" w:color="auto" w:fill="FFFFFF"/>
        </w:rPr>
        <w:t>了解药用植物的药用部位,，了解药用植物资源分布状况，</w:t>
      </w:r>
      <w:r>
        <w:rPr>
          <w:rFonts w:hint="eastAsia" w:ascii="宋体" w:hAnsi="宋体" w:eastAsia="宋体" w:cs="宋体"/>
          <w:sz w:val="24"/>
        </w:rPr>
        <w:t>掌握常用药用植物的生长环境和生长特点，学会识别常用药用植物的品种200-300种。</w:t>
      </w:r>
    </w:p>
    <w:p>
      <w:pPr>
        <w:spacing w:line="360" w:lineRule="auto"/>
        <w:ind w:firstLine="480" w:firstLineChars="200"/>
        <w:rPr>
          <w:rFonts w:ascii="宋体" w:hAnsi="宋体" w:eastAsia="宋体" w:cs="宋体"/>
          <w:sz w:val="24"/>
        </w:rPr>
      </w:pPr>
      <w:r>
        <w:rPr>
          <w:rFonts w:hint="eastAsia" w:ascii="宋体" w:hAnsi="宋体" w:eastAsia="宋体" w:cs="宋体"/>
          <w:sz w:val="24"/>
        </w:rPr>
        <w:t>9.中药制药工程原理与设备（32学时，</w:t>
      </w:r>
      <w:r>
        <w:rPr>
          <w:rFonts w:hint="eastAsia" w:ascii="宋体" w:hAnsi="宋体" w:eastAsia="宋体" w:cs="宋体"/>
          <w:sz w:val="24"/>
          <w:lang w:eastAsia="zh-TW"/>
        </w:rPr>
        <w:t>2</w:t>
      </w:r>
      <w:r>
        <w:rPr>
          <w:rFonts w:hint="eastAsia" w:ascii="宋体" w:hAnsi="宋体" w:eastAsia="宋体" w:cs="宋体"/>
          <w:sz w:val="24"/>
        </w:rPr>
        <w:t>.0学分）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教学要求：其任务是通过本课程的学习，使学生具备从事药品生产所需掌握的中药制药设备的必备知识，熟悉制剂生产中常用的制药设备以及 GMP 对制药设备的要求，为学生进一步学习相关专业知识打下坚实的基础，以适应药品生产企业对制药设备人才的需求。</w:t>
      </w:r>
    </w:p>
    <w:p>
      <w:pPr>
        <w:spacing w:line="360" w:lineRule="auto"/>
        <w:ind w:firstLine="480" w:firstLineChars="200"/>
        <w:rPr>
          <w:rFonts w:ascii="宋体" w:hAnsi="宋体" w:eastAsia="宋体" w:cs="宋体"/>
          <w:kern w:val="0"/>
          <w:sz w:val="24"/>
        </w:rPr>
      </w:pPr>
      <w:r>
        <w:rPr>
          <w:rFonts w:hint="eastAsia" w:ascii="宋体" w:hAnsi="宋体" w:eastAsia="宋体" w:cs="宋体"/>
          <w:sz w:val="24"/>
        </w:rPr>
        <w:t>10.实用药物学基础</w:t>
      </w:r>
      <w:r>
        <w:rPr>
          <w:rFonts w:hint="eastAsia" w:ascii="宋体" w:hAnsi="宋体" w:eastAsia="宋体" w:cs="宋体"/>
          <w:kern w:val="0"/>
          <w:sz w:val="24"/>
        </w:rPr>
        <w:t>（32学时，2学分）</w:t>
      </w:r>
    </w:p>
    <w:p>
      <w:pPr>
        <w:spacing w:line="360" w:lineRule="auto"/>
        <w:ind w:firstLine="480" w:firstLineChars="200"/>
        <w:rPr>
          <w:rFonts w:ascii="宋体" w:hAnsi="宋体" w:eastAsia="宋体" w:cs="宋体"/>
          <w:b/>
          <w:bCs/>
          <w:sz w:val="24"/>
        </w:rPr>
      </w:pPr>
      <w:r>
        <w:rPr>
          <w:rFonts w:hint="eastAsia" w:ascii="宋体" w:hAnsi="宋体" w:eastAsia="宋体" w:cs="宋体"/>
          <w:sz w:val="24"/>
        </w:rPr>
        <w:t xml:space="preserve">本课程以药物结构为主线，以药理作用为基础，着重讲述各类药物与稳定性及检验有关的化学知识，强化药物的主要用途、常见疾病的用药原则、不良反应及药物相互作用等实用性内容，时为学生今后更好地从事药品生产、药品经营及药学服务等岗位工作提供药学知识及技能.上的支持，树立安全、合理用药的观念。 </w:t>
      </w:r>
    </w:p>
    <w:p>
      <w:pPr>
        <w:spacing w:line="360" w:lineRule="auto"/>
        <w:ind w:firstLine="480" w:firstLineChars="200"/>
        <w:rPr>
          <w:rFonts w:ascii="宋体" w:hAnsi="宋体" w:eastAsia="宋体" w:cs="宋体"/>
          <w:sz w:val="24"/>
        </w:rPr>
      </w:pPr>
      <w:r>
        <w:rPr>
          <w:rFonts w:hint="eastAsia" w:ascii="宋体" w:hAnsi="宋体" w:eastAsia="宋体" w:cs="宋体"/>
          <w:sz w:val="24"/>
        </w:rPr>
        <w:t>11.药学文献检索（16学时，1.0学分）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 xml:space="preserve">  教学要求： 通过学习，使学生增加对信息和信息检索的理性认识，培养敏锐的情报意识；掌握文献及文献检索的基础知识，检索原理，检索途径和检索方法；掌握分析、评价和利用检索结果的正确方法，有效地运用文献信息，顺利地解决在学习和工作中遇到的有关问题。</w:t>
      </w:r>
    </w:p>
    <w:p>
      <w:pPr>
        <w:spacing w:line="360" w:lineRule="auto"/>
        <w:ind w:firstLine="480" w:firstLineChars="200"/>
        <w:rPr>
          <w:rFonts w:ascii="宋体" w:hAnsi="宋体" w:eastAsia="宋体" w:cs="宋体"/>
          <w:kern w:val="0"/>
          <w:sz w:val="24"/>
        </w:rPr>
      </w:pPr>
      <w:r>
        <w:rPr>
          <w:rFonts w:hint="eastAsia" w:ascii="宋体" w:hAnsi="宋体" w:eastAsia="宋体" w:cs="宋体"/>
          <w:sz w:val="24"/>
        </w:rPr>
        <w:t>12.中药学综合知识与技能</w:t>
      </w:r>
      <w:r>
        <w:rPr>
          <w:rFonts w:hint="eastAsia" w:ascii="宋体" w:hAnsi="宋体" w:eastAsia="宋体" w:cs="宋体"/>
          <w:kern w:val="0"/>
          <w:sz w:val="24"/>
        </w:rPr>
        <w:t>（32学时，2学分）</w:t>
      </w:r>
    </w:p>
    <w:p>
      <w:pPr>
        <w:spacing w:line="360" w:lineRule="auto"/>
        <w:ind w:firstLine="480" w:firstLineChars="200"/>
        <w:rPr>
          <w:rFonts w:ascii="宋体" w:hAnsi="宋体" w:eastAsia="宋体" w:cs="宋体"/>
          <w:sz w:val="24"/>
        </w:rPr>
      </w:pPr>
      <w:r>
        <w:rPr>
          <w:rFonts w:hint="eastAsia" w:ascii="宋体" w:hAnsi="宋体" w:eastAsia="宋体" w:cs="宋体"/>
          <w:sz w:val="24"/>
        </w:rPr>
        <w:t>中药学综合知识与技能是是国家执业中药师资格考试的科目之一。 本课程内容涵盖了中医学基础、中药与方剂学、中药调剂学和中药养护学等多学科的知识主要培养学生综合应用中药学各项专业知识和技能来解决中药学在服务过程中遇到的实际问题的能力,并为将来的实习和工作进行知识和技能的储备</w:t>
      </w:r>
    </w:p>
    <w:p>
      <w:pPr>
        <w:spacing w:line="360" w:lineRule="auto"/>
        <w:ind w:firstLine="480" w:firstLineChars="200"/>
        <w:rPr>
          <w:rFonts w:ascii="宋体" w:hAnsi="宋体" w:eastAsia="宋体" w:cs="宋体"/>
          <w:sz w:val="24"/>
        </w:rPr>
      </w:pPr>
      <w:r>
        <w:rPr>
          <w:rFonts w:hint="eastAsia" w:ascii="宋体" w:hAnsi="宋体" w:eastAsia="宋体" w:cs="宋体"/>
          <w:sz w:val="24"/>
        </w:rPr>
        <w:t>13.药膳食疗学（16学时，1.0学分）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本课程是中医治疗学的重要组成部分，是在中医学理论指导下，研究中医药膳的起源、发展、理论、应用及开发的一门学科，在中医养生康复专业为主干课程，在康复治疗专业属于能力拓展课程。目标是让学生掌握中医药膳的基本理论，常用药材、食材的性能应用，以及常用药膳配方的制作与应用。</w:t>
      </w:r>
    </w:p>
    <w:p>
      <w:pPr>
        <w:spacing w:line="360" w:lineRule="auto"/>
        <w:ind w:firstLine="480" w:firstLineChars="200"/>
        <w:rPr>
          <w:rFonts w:ascii="宋体" w:hAnsi="宋体" w:eastAsia="宋体" w:cs="宋体"/>
          <w:sz w:val="24"/>
        </w:rPr>
      </w:pPr>
      <w:r>
        <w:rPr>
          <w:rFonts w:hint="eastAsia" w:ascii="宋体" w:hAnsi="宋体" w:eastAsia="宋体" w:cs="宋体"/>
          <w:sz w:val="24"/>
        </w:rPr>
        <w:t>14.医学伦理学（16学时，1.0学分）</w:t>
      </w:r>
    </w:p>
    <w:p>
      <w:pPr>
        <w:spacing w:line="360" w:lineRule="auto"/>
        <w:ind w:firstLine="480" w:firstLineChars="200"/>
        <w:rPr>
          <w:rFonts w:ascii="宋体" w:hAnsi="宋体" w:eastAsia="宋体" w:cs="宋体"/>
          <w:sz w:val="24"/>
        </w:rPr>
      </w:pPr>
      <w:r>
        <w:rPr>
          <w:rFonts w:hint="eastAsia" w:ascii="宋体" w:hAnsi="宋体" w:eastAsia="宋体" w:cs="宋体"/>
          <w:sz w:val="24"/>
        </w:rPr>
        <w:t>通过学习和熟悉医药伦理学的基本理论知识，并将其运用于卫生管理的实践和生命科学的发展，以便培养、提高职业道德品质和分析、解决伦理问题的能力。</w:t>
      </w:r>
    </w:p>
    <w:p>
      <w:pPr>
        <w:spacing w:line="360" w:lineRule="auto"/>
        <w:rPr>
          <w:rFonts w:ascii="宋体" w:hAnsi="宋体" w:eastAsia="宋体" w:cs="宋体"/>
          <w:b/>
          <w:bCs/>
          <w:sz w:val="24"/>
        </w:rPr>
      </w:pPr>
      <w:r>
        <w:rPr>
          <w:rFonts w:hint="eastAsia" w:ascii="宋体" w:hAnsi="宋体" w:eastAsia="宋体" w:cs="宋体"/>
          <w:b/>
          <w:bCs/>
          <w:sz w:val="24"/>
        </w:rPr>
        <w:t>七、教学进程总体安排</w:t>
      </w:r>
    </w:p>
    <w:p>
      <w:p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（一）教学活动时间分配表</w:t>
      </w:r>
    </w:p>
    <w:p>
      <w:pPr>
        <w:adjustRightInd w:val="0"/>
        <w:snapToGrid w:val="0"/>
        <w:spacing w:line="360" w:lineRule="auto"/>
        <w:ind w:firstLine="482" w:firstLineChars="200"/>
        <w:jc w:val="center"/>
        <w:rPr>
          <w:rFonts w:ascii="宋体" w:hAnsi="宋体" w:eastAsia="宋体" w:cs="宋体"/>
          <w:b/>
          <w:sz w:val="24"/>
        </w:rPr>
      </w:pPr>
      <w:r>
        <w:rPr>
          <w:rFonts w:hint="eastAsia" w:ascii="宋体" w:hAnsi="宋体" w:eastAsia="宋体" w:cs="宋体"/>
          <w:b/>
          <w:sz w:val="24"/>
        </w:rPr>
        <w:t>表3 学时分配表</w:t>
      </w:r>
    </w:p>
    <w:tbl>
      <w:tblPr>
        <w:tblStyle w:val="8"/>
        <w:tblW w:w="8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071"/>
        <w:gridCol w:w="1378"/>
        <w:gridCol w:w="1379"/>
        <w:gridCol w:w="1606"/>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750" w:type="dxa"/>
            <w:vMerge w:val="restart"/>
            <w:vAlign w:val="center"/>
          </w:tcPr>
          <w:p>
            <w:pPr>
              <w:jc w:val="center"/>
            </w:pPr>
            <w:r>
              <w:rPr>
                <w:rFonts w:hint="eastAsia"/>
              </w:rPr>
              <w:t>模块</w:t>
            </w:r>
          </w:p>
        </w:tc>
        <w:tc>
          <w:tcPr>
            <w:tcW w:w="1071" w:type="dxa"/>
            <w:vMerge w:val="restart"/>
            <w:vAlign w:val="center"/>
          </w:tcPr>
          <w:p>
            <w:pPr>
              <w:jc w:val="center"/>
            </w:pPr>
            <w:r>
              <w:rPr>
                <w:rFonts w:hint="eastAsia"/>
              </w:rPr>
              <w:t>性质</w:t>
            </w:r>
          </w:p>
        </w:tc>
        <w:tc>
          <w:tcPr>
            <w:tcW w:w="4363" w:type="dxa"/>
            <w:gridSpan w:val="3"/>
            <w:vAlign w:val="center"/>
          </w:tcPr>
          <w:p>
            <w:pPr>
              <w:jc w:val="center"/>
            </w:pPr>
            <w:r>
              <w:rPr>
                <w:rFonts w:hint="eastAsia"/>
              </w:rPr>
              <w:t>学时数</w:t>
            </w:r>
          </w:p>
        </w:tc>
        <w:tc>
          <w:tcPr>
            <w:tcW w:w="1588" w:type="dxa"/>
            <w:vMerge w:val="restart"/>
            <w:vAlign w:val="center"/>
          </w:tcPr>
          <w:p>
            <w:pPr>
              <w:jc w:val="center"/>
            </w:pPr>
            <w:r>
              <w:rPr>
                <w:rFonts w:hint="eastAsia"/>
              </w:rPr>
              <w:t>占总学时的百分比（%）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750" w:type="dxa"/>
            <w:vMerge w:val="continue"/>
            <w:vAlign w:val="center"/>
          </w:tcPr>
          <w:p>
            <w:pPr>
              <w:jc w:val="center"/>
            </w:pPr>
          </w:p>
        </w:tc>
        <w:tc>
          <w:tcPr>
            <w:tcW w:w="1071" w:type="dxa"/>
            <w:vMerge w:val="continue"/>
            <w:vAlign w:val="center"/>
          </w:tcPr>
          <w:p>
            <w:pPr>
              <w:jc w:val="center"/>
            </w:pPr>
          </w:p>
        </w:tc>
        <w:tc>
          <w:tcPr>
            <w:tcW w:w="1378" w:type="dxa"/>
            <w:vAlign w:val="center"/>
          </w:tcPr>
          <w:p>
            <w:pPr>
              <w:jc w:val="center"/>
            </w:pPr>
            <w:r>
              <w:rPr>
                <w:rFonts w:hint="eastAsia"/>
              </w:rPr>
              <w:t>理论</w:t>
            </w:r>
          </w:p>
        </w:tc>
        <w:tc>
          <w:tcPr>
            <w:tcW w:w="1379" w:type="dxa"/>
            <w:vAlign w:val="center"/>
          </w:tcPr>
          <w:p>
            <w:pPr>
              <w:jc w:val="center"/>
            </w:pPr>
            <w:r>
              <w:rPr>
                <w:rFonts w:hint="eastAsia"/>
              </w:rPr>
              <w:t>实践</w:t>
            </w:r>
          </w:p>
        </w:tc>
        <w:tc>
          <w:tcPr>
            <w:tcW w:w="1606" w:type="dxa"/>
            <w:vAlign w:val="center"/>
          </w:tcPr>
          <w:p>
            <w:pPr>
              <w:jc w:val="center"/>
            </w:pPr>
            <w:r>
              <w:rPr>
                <w:rFonts w:hint="eastAsia"/>
              </w:rPr>
              <w:t>理/实比例</w:t>
            </w:r>
          </w:p>
        </w:tc>
        <w:tc>
          <w:tcPr>
            <w:tcW w:w="158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jc w:val="center"/>
        </w:trPr>
        <w:tc>
          <w:tcPr>
            <w:tcW w:w="1750" w:type="dxa"/>
            <w:vAlign w:val="center"/>
          </w:tcPr>
          <w:p>
            <w:pPr>
              <w:jc w:val="center"/>
            </w:pPr>
            <w:r>
              <w:rPr>
                <w:rFonts w:hint="eastAsia"/>
              </w:rPr>
              <w:t>公共课模块</w:t>
            </w:r>
          </w:p>
        </w:tc>
        <w:tc>
          <w:tcPr>
            <w:tcW w:w="1071" w:type="dxa"/>
            <w:vAlign w:val="center"/>
          </w:tcPr>
          <w:p>
            <w:pPr>
              <w:jc w:val="center"/>
            </w:pPr>
            <w:r>
              <w:rPr>
                <w:rFonts w:hint="eastAsia"/>
              </w:rPr>
              <w:t>必修</w:t>
            </w:r>
          </w:p>
        </w:tc>
        <w:tc>
          <w:tcPr>
            <w:tcW w:w="1378" w:type="dxa"/>
            <w:vAlign w:val="center"/>
          </w:tcPr>
          <w:p>
            <w:pPr>
              <w:jc w:val="center"/>
            </w:pPr>
            <w:r>
              <w:rPr>
                <w:rFonts w:hint="eastAsia"/>
              </w:rPr>
              <w:t>332</w:t>
            </w:r>
          </w:p>
        </w:tc>
        <w:tc>
          <w:tcPr>
            <w:tcW w:w="1379" w:type="dxa"/>
            <w:vAlign w:val="center"/>
          </w:tcPr>
          <w:p>
            <w:pPr>
              <w:jc w:val="center"/>
            </w:pPr>
            <w:r>
              <w:rPr>
                <w:rFonts w:hint="eastAsia"/>
              </w:rPr>
              <w:t>320</w:t>
            </w:r>
          </w:p>
        </w:tc>
        <w:tc>
          <w:tcPr>
            <w:tcW w:w="1606" w:type="dxa"/>
            <w:vAlign w:val="center"/>
          </w:tcPr>
          <w:p>
            <w:pPr>
              <w:jc w:val="center"/>
            </w:pPr>
            <w:r>
              <w:rPr>
                <w:rFonts w:hint="eastAsia"/>
              </w:rPr>
              <w:t>1.0375</w:t>
            </w:r>
          </w:p>
        </w:tc>
        <w:tc>
          <w:tcPr>
            <w:tcW w:w="1588" w:type="dxa"/>
            <w:noWrap/>
            <w:vAlign w:val="center"/>
          </w:tcPr>
          <w:p>
            <w:pPr>
              <w:jc w:val="center"/>
            </w:pPr>
            <w:r>
              <w:rPr>
                <w:rFonts w:hint="eastAsia"/>
              </w:rPr>
              <w:t>23.31%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jc w:val="center"/>
        </w:trPr>
        <w:tc>
          <w:tcPr>
            <w:tcW w:w="1750" w:type="dxa"/>
            <w:vAlign w:val="center"/>
          </w:tcPr>
          <w:p>
            <w:pPr>
              <w:jc w:val="center"/>
            </w:pPr>
            <w:r>
              <w:rPr>
                <w:rFonts w:hint="eastAsia"/>
              </w:rPr>
              <w:t>专业基础课模块</w:t>
            </w:r>
          </w:p>
        </w:tc>
        <w:tc>
          <w:tcPr>
            <w:tcW w:w="1071" w:type="dxa"/>
            <w:vAlign w:val="center"/>
          </w:tcPr>
          <w:p>
            <w:pPr>
              <w:jc w:val="center"/>
            </w:pPr>
            <w:r>
              <w:rPr>
                <w:rFonts w:hint="eastAsia"/>
              </w:rPr>
              <w:t>必修</w:t>
            </w:r>
          </w:p>
        </w:tc>
        <w:tc>
          <w:tcPr>
            <w:tcW w:w="1378" w:type="dxa"/>
            <w:vAlign w:val="center"/>
          </w:tcPr>
          <w:p>
            <w:pPr>
              <w:jc w:val="center"/>
            </w:pPr>
            <w:r>
              <w:rPr>
                <w:rFonts w:hint="eastAsia"/>
              </w:rPr>
              <w:t>294</w:t>
            </w:r>
          </w:p>
        </w:tc>
        <w:tc>
          <w:tcPr>
            <w:tcW w:w="1379" w:type="dxa"/>
            <w:vAlign w:val="center"/>
          </w:tcPr>
          <w:p>
            <w:pPr>
              <w:jc w:val="center"/>
            </w:pPr>
            <w:r>
              <w:rPr>
                <w:rFonts w:hint="eastAsia"/>
              </w:rPr>
              <w:t>106</w:t>
            </w:r>
          </w:p>
        </w:tc>
        <w:tc>
          <w:tcPr>
            <w:tcW w:w="1606" w:type="dxa"/>
            <w:vAlign w:val="center"/>
          </w:tcPr>
          <w:p>
            <w:pPr>
              <w:jc w:val="center"/>
            </w:pPr>
            <w:r>
              <w:rPr>
                <w:rFonts w:hint="eastAsia"/>
              </w:rPr>
              <w:t>2.77</w:t>
            </w:r>
          </w:p>
        </w:tc>
        <w:tc>
          <w:tcPr>
            <w:tcW w:w="1588" w:type="dxa"/>
            <w:noWrap/>
            <w:vAlign w:val="center"/>
          </w:tcPr>
          <w:p>
            <w:pPr>
              <w:jc w:val="center"/>
            </w:pPr>
            <w:r>
              <w:rPr>
                <w:rFonts w:hint="eastAsia"/>
              </w:rPr>
              <w:t>14.57%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jc w:val="center"/>
        </w:trPr>
        <w:tc>
          <w:tcPr>
            <w:tcW w:w="1750" w:type="dxa"/>
            <w:vAlign w:val="center"/>
          </w:tcPr>
          <w:p>
            <w:pPr>
              <w:jc w:val="center"/>
            </w:pPr>
            <w:r>
              <w:rPr>
                <w:rFonts w:hint="eastAsia"/>
              </w:rPr>
              <w:t>专业核心模块</w:t>
            </w:r>
          </w:p>
        </w:tc>
        <w:tc>
          <w:tcPr>
            <w:tcW w:w="1071" w:type="dxa"/>
            <w:vAlign w:val="center"/>
          </w:tcPr>
          <w:p>
            <w:pPr>
              <w:jc w:val="center"/>
            </w:pPr>
            <w:r>
              <w:rPr>
                <w:rFonts w:hint="eastAsia"/>
              </w:rPr>
              <w:t>必修</w:t>
            </w:r>
          </w:p>
        </w:tc>
        <w:tc>
          <w:tcPr>
            <w:tcW w:w="1378" w:type="dxa"/>
            <w:vAlign w:val="center"/>
          </w:tcPr>
          <w:p>
            <w:pPr>
              <w:jc w:val="center"/>
            </w:pPr>
            <w:r>
              <w:rPr>
                <w:rFonts w:hint="eastAsia"/>
              </w:rPr>
              <w:t>174</w:t>
            </w:r>
          </w:p>
        </w:tc>
        <w:tc>
          <w:tcPr>
            <w:tcW w:w="1379" w:type="dxa"/>
            <w:vAlign w:val="center"/>
          </w:tcPr>
          <w:p>
            <w:pPr>
              <w:jc w:val="center"/>
            </w:pPr>
            <w:r>
              <w:rPr>
                <w:rFonts w:hint="eastAsia"/>
              </w:rPr>
              <w:t>160</w:t>
            </w:r>
          </w:p>
        </w:tc>
        <w:tc>
          <w:tcPr>
            <w:tcW w:w="1606" w:type="dxa"/>
            <w:vAlign w:val="center"/>
          </w:tcPr>
          <w:p>
            <w:pPr>
              <w:jc w:val="center"/>
            </w:pPr>
            <w:r>
              <w:rPr>
                <w:rFonts w:hint="eastAsia"/>
              </w:rPr>
              <w:t>1.09</w:t>
            </w:r>
          </w:p>
        </w:tc>
        <w:tc>
          <w:tcPr>
            <w:tcW w:w="1588" w:type="dxa"/>
            <w:noWrap/>
            <w:vAlign w:val="center"/>
          </w:tcPr>
          <w:p>
            <w:pPr>
              <w:jc w:val="center"/>
            </w:pPr>
            <w:r>
              <w:rPr>
                <w:rFonts w:hint="eastAsia"/>
              </w:rPr>
              <w:t>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jc w:val="center"/>
        </w:trPr>
        <w:tc>
          <w:tcPr>
            <w:tcW w:w="1750" w:type="dxa"/>
            <w:vAlign w:val="center"/>
          </w:tcPr>
          <w:p>
            <w:pPr>
              <w:jc w:val="center"/>
            </w:pPr>
            <w:r>
              <w:rPr>
                <w:rFonts w:hint="eastAsia"/>
              </w:rPr>
              <w:t>选修课模块</w:t>
            </w:r>
          </w:p>
        </w:tc>
        <w:tc>
          <w:tcPr>
            <w:tcW w:w="1071" w:type="dxa"/>
            <w:vAlign w:val="center"/>
          </w:tcPr>
          <w:p>
            <w:pPr>
              <w:jc w:val="center"/>
            </w:pPr>
            <w:r>
              <w:rPr>
                <w:rFonts w:hint="eastAsia"/>
              </w:rPr>
              <w:t>选修</w:t>
            </w:r>
          </w:p>
        </w:tc>
        <w:tc>
          <w:tcPr>
            <w:tcW w:w="1378" w:type="dxa"/>
            <w:vAlign w:val="center"/>
          </w:tcPr>
          <w:p>
            <w:pPr>
              <w:jc w:val="center"/>
            </w:pPr>
            <w:r>
              <w:rPr>
                <w:rFonts w:hint="eastAsia"/>
              </w:rPr>
              <w:t>248</w:t>
            </w:r>
          </w:p>
        </w:tc>
        <w:tc>
          <w:tcPr>
            <w:tcW w:w="1379" w:type="dxa"/>
            <w:vAlign w:val="center"/>
          </w:tcPr>
          <w:p>
            <w:pPr>
              <w:jc w:val="center"/>
            </w:pPr>
            <w:r>
              <w:rPr>
                <w:rFonts w:hint="eastAsia"/>
              </w:rPr>
              <w:t>40</w:t>
            </w:r>
          </w:p>
        </w:tc>
        <w:tc>
          <w:tcPr>
            <w:tcW w:w="1606" w:type="dxa"/>
            <w:vAlign w:val="center"/>
          </w:tcPr>
          <w:p>
            <w:pPr>
              <w:jc w:val="center"/>
            </w:pPr>
            <w:r>
              <w:rPr>
                <w:rFonts w:hint="eastAsia"/>
              </w:rPr>
              <w:t>6.2</w:t>
            </w:r>
          </w:p>
        </w:tc>
        <w:tc>
          <w:tcPr>
            <w:tcW w:w="1588" w:type="dxa"/>
            <w:noWrap/>
            <w:vAlign w:val="center"/>
          </w:tcPr>
          <w:p>
            <w:pPr>
              <w:jc w:val="center"/>
            </w:pPr>
            <w:r>
              <w:rPr>
                <w:rFonts w:hint="eastAsia"/>
              </w:rPr>
              <w:t>10.48%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jc w:val="center"/>
        </w:trPr>
        <w:tc>
          <w:tcPr>
            <w:tcW w:w="1750" w:type="dxa"/>
            <w:vAlign w:val="center"/>
          </w:tcPr>
          <w:p>
            <w:pPr>
              <w:jc w:val="center"/>
            </w:pPr>
            <w:r>
              <w:rPr>
                <w:rFonts w:hint="eastAsia"/>
              </w:rPr>
              <w:t>实习</w:t>
            </w:r>
          </w:p>
        </w:tc>
        <w:tc>
          <w:tcPr>
            <w:tcW w:w="1071" w:type="dxa"/>
            <w:vAlign w:val="center"/>
          </w:tcPr>
          <w:p>
            <w:pPr>
              <w:jc w:val="center"/>
            </w:pPr>
            <w:r>
              <w:rPr>
                <w:rFonts w:hint="eastAsia"/>
              </w:rPr>
              <w:t>必修</w:t>
            </w:r>
          </w:p>
        </w:tc>
        <w:tc>
          <w:tcPr>
            <w:tcW w:w="1378" w:type="dxa"/>
            <w:vAlign w:val="center"/>
          </w:tcPr>
          <w:p>
            <w:pPr>
              <w:jc w:val="center"/>
            </w:pPr>
            <w:r>
              <w:rPr>
                <w:rFonts w:hint="eastAsia"/>
              </w:rPr>
              <w:t>0</w:t>
            </w:r>
          </w:p>
        </w:tc>
        <w:tc>
          <w:tcPr>
            <w:tcW w:w="1379" w:type="dxa"/>
            <w:vAlign w:val="center"/>
          </w:tcPr>
          <w:p>
            <w:pPr>
              <w:jc w:val="center"/>
            </w:pPr>
            <w:r>
              <w:rPr>
                <w:rFonts w:hint="eastAsia"/>
              </w:rPr>
              <w:t>1200</w:t>
            </w:r>
          </w:p>
        </w:tc>
        <w:tc>
          <w:tcPr>
            <w:tcW w:w="1606" w:type="dxa"/>
            <w:vAlign w:val="center"/>
          </w:tcPr>
          <w:p>
            <w:pPr>
              <w:jc w:val="center"/>
            </w:pPr>
            <w:r>
              <w:rPr>
                <w:rFonts w:hint="eastAsia"/>
              </w:rPr>
              <w:t>0</w:t>
            </w:r>
          </w:p>
        </w:tc>
        <w:tc>
          <w:tcPr>
            <w:tcW w:w="1588" w:type="dxa"/>
            <w:noWrap/>
            <w:vAlign w:val="center"/>
          </w:tcPr>
          <w:p>
            <w:pPr>
              <w:jc w:val="center"/>
            </w:pPr>
            <w:r>
              <w:rPr>
                <w:rFonts w:hint="eastAsia"/>
              </w:rPr>
              <w:t>42.91%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jc w:val="center"/>
        </w:trPr>
        <w:tc>
          <w:tcPr>
            <w:tcW w:w="1750" w:type="dxa"/>
            <w:vAlign w:val="center"/>
          </w:tcPr>
          <w:p>
            <w:pPr>
              <w:jc w:val="center"/>
            </w:pPr>
            <w:r>
              <w:rPr>
                <w:rFonts w:hint="eastAsia"/>
              </w:rPr>
              <w:t>合计</w:t>
            </w:r>
          </w:p>
        </w:tc>
        <w:tc>
          <w:tcPr>
            <w:tcW w:w="1071" w:type="dxa"/>
            <w:vAlign w:val="center"/>
          </w:tcPr>
          <w:p>
            <w:pPr>
              <w:jc w:val="center"/>
            </w:pPr>
          </w:p>
        </w:tc>
        <w:tc>
          <w:tcPr>
            <w:tcW w:w="1378" w:type="dxa"/>
            <w:vAlign w:val="center"/>
          </w:tcPr>
          <w:p>
            <w:pPr>
              <w:jc w:val="center"/>
            </w:pPr>
            <w:r>
              <w:rPr>
                <w:rFonts w:hint="eastAsia"/>
              </w:rPr>
              <w:t>1048</w:t>
            </w:r>
          </w:p>
        </w:tc>
        <w:tc>
          <w:tcPr>
            <w:tcW w:w="1379" w:type="dxa"/>
            <w:vAlign w:val="center"/>
          </w:tcPr>
          <w:p>
            <w:pPr>
              <w:jc w:val="center"/>
            </w:pPr>
            <w:r>
              <w:rPr>
                <w:rFonts w:hint="eastAsia"/>
              </w:rPr>
              <w:t>1826</w:t>
            </w:r>
          </w:p>
        </w:tc>
        <w:tc>
          <w:tcPr>
            <w:tcW w:w="1606" w:type="dxa"/>
            <w:vAlign w:val="center"/>
          </w:tcPr>
          <w:p>
            <w:pPr>
              <w:jc w:val="center"/>
            </w:pPr>
            <w:r>
              <w:rPr>
                <w:rFonts w:hint="eastAsia"/>
              </w:rPr>
              <w:t>0.574</w:t>
            </w:r>
          </w:p>
        </w:tc>
        <w:tc>
          <w:tcPr>
            <w:tcW w:w="1588" w:type="dxa"/>
            <w:noWrap/>
            <w:vAlign w:val="center"/>
          </w:tcPr>
          <w:p>
            <w:pPr>
              <w:jc w:val="center"/>
            </w:pPr>
            <w:r>
              <w:rPr>
                <w:rFonts w:hint="eastAsia"/>
              </w:rPr>
              <w:t>100%</w:t>
            </w:r>
          </w:p>
        </w:tc>
      </w:tr>
    </w:tbl>
    <w:p>
      <w:pPr>
        <w:adjustRightInd w:val="0"/>
        <w:snapToGrid w:val="0"/>
        <w:spacing w:line="360" w:lineRule="auto"/>
        <w:ind w:firstLine="482" w:firstLineChars="200"/>
        <w:rPr>
          <w:rFonts w:ascii="宋体" w:hAnsi="宋体" w:eastAsia="宋体" w:cs="宋体"/>
          <w:b/>
          <w:sz w:val="24"/>
        </w:rPr>
      </w:pPr>
    </w:p>
    <w:p>
      <w:pPr>
        <w:adjustRightInd w:val="0"/>
        <w:snapToGrid w:val="0"/>
        <w:spacing w:line="360" w:lineRule="auto"/>
        <w:ind w:firstLine="482" w:firstLineChars="200"/>
        <w:jc w:val="center"/>
        <w:rPr>
          <w:rFonts w:ascii="宋体" w:hAnsi="宋体" w:eastAsia="宋体" w:cs="宋体"/>
          <w:b/>
          <w:sz w:val="24"/>
        </w:rPr>
      </w:pPr>
      <w:r>
        <w:rPr>
          <w:rFonts w:hint="eastAsia" w:ascii="宋体" w:hAnsi="宋体" w:eastAsia="宋体" w:cs="宋体"/>
          <w:b/>
          <w:sz w:val="24"/>
        </w:rPr>
        <w:t>表4 教学活动时间分配表</w:t>
      </w:r>
    </w:p>
    <w:tbl>
      <w:tblPr>
        <w:tblStyle w:val="8"/>
        <w:tblW w:w="8972" w:type="dxa"/>
        <w:jc w:val="center"/>
        <w:tblInd w:w="0" w:type="dxa"/>
        <w:tblLayout w:type="fixed"/>
        <w:tblCellMar>
          <w:top w:w="0" w:type="dxa"/>
          <w:left w:w="0" w:type="dxa"/>
          <w:bottom w:w="0" w:type="dxa"/>
          <w:right w:w="0" w:type="dxa"/>
        </w:tblCellMar>
      </w:tblPr>
      <w:tblGrid>
        <w:gridCol w:w="1080"/>
        <w:gridCol w:w="1080"/>
        <w:gridCol w:w="857"/>
        <w:gridCol w:w="1303"/>
        <w:gridCol w:w="962"/>
        <w:gridCol w:w="1005"/>
        <w:gridCol w:w="1065"/>
        <w:gridCol w:w="735"/>
        <w:gridCol w:w="885"/>
      </w:tblGrid>
      <w:tr>
        <w:tblPrEx>
          <w:tblLayout w:type="fixed"/>
          <w:tblCellMar>
            <w:top w:w="0" w:type="dxa"/>
            <w:left w:w="0" w:type="dxa"/>
            <w:bottom w:w="0" w:type="dxa"/>
            <w:right w:w="0" w:type="dxa"/>
          </w:tblCellMar>
        </w:tblPrEx>
        <w:trPr>
          <w:trHeight w:val="9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教学</w:t>
            </w:r>
          </w:p>
          <w:p>
            <w:pPr>
              <w:jc w:val="center"/>
            </w:pPr>
            <w:r>
              <w:rPr>
                <w:rFonts w:hint="eastAsia"/>
              </w:rPr>
              <w:t>学期</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教学周（含节假日）</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考核</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军事理论</w:t>
            </w:r>
          </w:p>
          <w:p>
            <w:pPr>
              <w:jc w:val="center"/>
            </w:pPr>
            <w:r>
              <w:rPr>
                <w:rFonts w:hint="eastAsia"/>
              </w:rPr>
              <w:t>与技能</w:t>
            </w: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毕业</w:t>
            </w:r>
          </w:p>
          <w:p>
            <w:pPr>
              <w:jc w:val="center"/>
            </w:pPr>
            <w:r>
              <w:rPr>
                <w:rFonts w:hint="eastAsia"/>
              </w:rPr>
              <w:t>教育</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教学</w:t>
            </w:r>
          </w:p>
          <w:p>
            <w:pPr>
              <w:jc w:val="center"/>
            </w:pPr>
            <w:r>
              <w:rPr>
                <w:rFonts w:hint="eastAsia"/>
              </w:rPr>
              <w:t>见习</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社会</w:t>
            </w:r>
          </w:p>
          <w:p>
            <w:pPr>
              <w:jc w:val="center"/>
            </w:pPr>
            <w:r>
              <w:rPr>
                <w:rFonts w:hint="eastAsia"/>
              </w:rPr>
              <w:t>实践</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毕业 实习</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合计</w:t>
            </w:r>
          </w:p>
        </w:tc>
      </w:tr>
      <w:tr>
        <w:tblPrEx>
          <w:tblLayout w:type="fixed"/>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16</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Layout w:type="fixed"/>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17</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Layout w:type="fixed"/>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3</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18</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Layout w:type="fixed"/>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4</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6</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13</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Layout w:type="fixed"/>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5</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Layout w:type="fixed"/>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6</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5</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5</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7</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20</w:t>
            </w:r>
          </w:p>
        </w:tc>
      </w:tr>
      <w:tr>
        <w:tblPrEx>
          <w:tblLayout w:type="fixed"/>
          <w:tblCellMar>
            <w:top w:w="0" w:type="dxa"/>
            <w:left w:w="0" w:type="dxa"/>
            <w:bottom w:w="0" w:type="dxa"/>
            <w:right w:w="0" w:type="dxa"/>
          </w:tblCellMar>
        </w:tblPrEx>
        <w:trPr>
          <w:trHeight w:val="375" w:hRule="atLeast"/>
          <w:jc w:val="center"/>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合计</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62</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5</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2</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7</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40</w:t>
            </w:r>
          </w:p>
        </w:tc>
        <w:tc>
          <w:tcPr>
            <w:tcW w:w="8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pPr>
            <w:r>
              <w:rPr>
                <w:rFonts w:hint="eastAsia"/>
              </w:rPr>
              <w:t>120</w:t>
            </w:r>
          </w:p>
        </w:tc>
      </w:tr>
    </w:tbl>
    <w:p>
      <w:pPr>
        <w:adjustRightInd w:val="0"/>
        <w:snapToGrid w:val="0"/>
        <w:spacing w:line="360" w:lineRule="auto"/>
        <w:rPr>
          <w:rFonts w:ascii="宋体" w:hAnsi="宋体" w:eastAsia="宋体" w:cs="宋体"/>
          <w:sz w:val="24"/>
        </w:rPr>
      </w:pPr>
      <w:r>
        <w:rPr>
          <w:rFonts w:hint="eastAsia" w:ascii="宋体" w:hAnsi="宋体" w:eastAsia="宋体" w:cs="宋体"/>
          <w:b/>
          <w:sz w:val="24"/>
        </w:rPr>
        <w:t>八、实施保障</w:t>
      </w:r>
    </w:p>
    <w:p>
      <w:pPr>
        <w:pStyle w:val="3"/>
        <w:spacing w:line="360" w:lineRule="auto"/>
        <w:ind w:firstLine="482" w:firstLineChars="200"/>
        <w:rPr>
          <w:rFonts w:ascii="宋体" w:hAnsi="宋体" w:eastAsia="宋体" w:cs="宋体"/>
          <w:sz w:val="24"/>
          <w:szCs w:val="24"/>
        </w:rPr>
      </w:pPr>
      <w:bookmarkStart w:id="11" w:name="_Toc525414589"/>
      <w:bookmarkStart w:id="12" w:name="_Toc521083036"/>
      <w:bookmarkStart w:id="13" w:name="_Toc527369375"/>
      <w:bookmarkStart w:id="14" w:name="_Toc525381619"/>
      <w:bookmarkStart w:id="15" w:name="_Toc521082836"/>
      <w:r>
        <w:rPr>
          <w:rFonts w:hint="eastAsia" w:ascii="宋体" w:hAnsi="宋体" w:eastAsia="宋体" w:cs="宋体"/>
          <w:sz w:val="24"/>
          <w:szCs w:val="24"/>
        </w:rPr>
        <w:t>（一）师资队伍</w:t>
      </w:r>
      <w:bookmarkEnd w:id="11"/>
      <w:bookmarkEnd w:id="12"/>
      <w:bookmarkEnd w:id="13"/>
      <w:bookmarkEnd w:id="14"/>
      <w:bookmarkEnd w:id="15"/>
    </w:p>
    <w:p>
      <w:pPr>
        <w:spacing w:line="360" w:lineRule="auto"/>
        <w:ind w:firstLine="480" w:firstLineChars="200"/>
        <w:rPr>
          <w:rFonts w:ascii="宋体" w:hAnsi="宋体" w:eastAsia="宋体" w:cs="宋体"/>
          <w:sz w:val="24"/>
        </w:rPr>
      </w:pPr>
      <w:bookmarkStart w:id="16" w:name="_Toc525381620"/>
      <w:bookmarkStart w:id="17" w:name="_Toc525414590"/>
      <w:bookmarkStart w:id="18" w:name="_Toc521082837"/>
      <w:bookmarkStart w:id="19" w:name="_Toc521083037"/>
      <w:bookmarkStart w:id="20" w:name="_Toc527369376"/>
      <w:r>
        <w:rPr>
          <w:rFonts w:hint="eastAsia" w:ascii="宋体" w:hAnsi="宋体" w:eastAsia="宋体" w:cs="宋体"/>
          <w:sz w:val="24"/>
        </w:rPr>
        <w:t>有高水平的学科带头人2名、专业骨干教师4名。专任教师队伍数量足够，年龄、学历结构合理，具有“双师”素质教师占70%以上，具有行业企业生产一线工作经历的达40％以上，高级职称的比例达25%以上，硕士以上学位的教师达50%以上。聘请行业企业的技术专家4-6名，初步形成实践技能课程和顶岗实习主要由兼职教师讲授和能工巧匠指导的机制，专兼职教师比例达到1：1以上。校内实训指导教师具有高级工以上职业资格证书或2年以上相关企业工作经历。</w:t>
      </w:r>
    </w:p>
    <w:p>
      <w:pPr>
        <w:pStyle w:val="3"/>
        <w:spacing w:line="360" w:lineRule="auto"/>
        <w:ind w:firstLine="482" w:firstLineChars="200"/>
        <w:rPr>
          <w:rFonts w:ascii="宋体" w:hAnsi="宋体" w:eastAsia="宋体" w:cs="宋体"/>
          <w:sz w:val="24"/>
          <w:szCs w:val="24"/>
        </w:rPr>
      </w:pPr>
      <w:r>
        <w:rPr>
          <w:rFonts w:hint="eastAsia" w:ascii="宋体" w:hAnsi="宋体" w:eastAsia="宋体" w:cs="宋体"/>
          <w:sz w:val="24"/>
          <w:szCs w:val="24"/>
        </w:rPr>
        <w:t>（二）教学设施</w:t>
      </w:r>
      <w:bookmarkEnd w:id="16"/>
      <w:bookmarkEnd w:id="17"/>
      <w:bookmarkEnd w:id="18"/>
      <w:bookmarkEnd w:id="19"/>
      <w:bookmarkEnd w:id="20"/>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1.校内实训</w:t>
      </w:r>
    </w:p>
    <w:p>
      <w:pPr>
        <w:spacing w:line="360" w:lineRule="auto"/>
        <w:ind w:firstLine="480" w:firstLineChars="200"/>
        <w:rPr>
          <w:rFonts w:ascii="宋体" w:hAnsi="宋体" w:eastAsia="宋体" w:cs="宋体"/>
          <w:bCs/>
          <w:sz w:val="24"/>
          <w:lang w:val="zh-CN"/>
        </w:rPr>
      </w:pPr>
      <w:r>
        <w:rPr>
          <w:rFonts w:hint="eastAsia" w:ascii="宋体" w:hAnsi="宋体" w:eastAsia="宋体" w:cs="宋体"/>
          <w:bCs/>
          <w:sz w:val="24"/>
          <w:lang w:val="zh-CN"/>
        </w:rPr>
        <w:t>专业与行业企业紧密结合，系统设计、实施生产性实训和顶岗实习，探索建立“校中厂”、“厂中校”等形式的实践教学基地。学校应按照本专业教学计划、教学大纲的要求，设置与本专业所开设课程相适应的教学实验实训基地，购置必要的实验实训教学仪器设备。实验实训教学仪器设备的总值不少于900万元，并且根据学校五年规划本专业招生总数，生均不少于0.5万元。</w:t>
      </w:r>
    </w:p>
    <w:p>
      <w:pPr>
        <w:spacing w:line="360" w:lineRule="auto"/>
        <w:ind w:firstLine="482" w:firstLineChars="200"/>
        <w:jc w:val="center"/>
        <w:rPr>
          <w:rFonts w:ascii="宋体" w:hAnsi="宋体" w:eastAsia="宋体" w:cs="宋体"/>
          <w:b/>
          <w:bCs/>
          <w:sz w:val="24"/>
        </w:rPr>
      </w:pPr>
      <w:r>
        <w:rPr>
          <w:rFonts w:hint="eastAsia" w:ascii="宋体" w:hAnsi="宋体" w:eastAsia="宋体" w:cs="宋体"/>
          <w:b/>
          <w:bCs/>
          <w:sz w:val="24"/>
        </w:rPr>
        <w:t>表5   中药制药专业实验实训主要仪器设备一览表</w:t>
      </w:r>
    </w:p>
    <w:tbl>
      <w:tblPr>
        <w:tblStyle w:val="8"/>
        <w:tblW w:w="9854" w:type="dxa"/>
        <w:tblInd w:w="0" w:type="dxa"/>
        <w:tblLayout w:type="fixed"/>
        <w:tblCellMar>
          <w:top w:w="0" w:type="dxa"/>
          <w:left w:w="108" w:type="dxa"/>
          <w:bottom w:w="0" w:type="dxa"/>
          <w:right w:w="108" w:type="dxa"/>
        </w:tblCellMar>
      </w:tblPr>
      <w:tblGrid>
        <w:gridCol w:w="930"/>
        <w:gridCol w:w="3532"/>
        <w:gridCol w:w="930"/>
        <w:gridCol w:w="4462"/>
      </w:tblGrid>
      <w:tr>
        <w:tblPrEx>
          <w:tblLayout w:type="fixed"/>
          <w:tblCellMar>
            <w:top w:w="0" w:type="dxa"/>
            <w:left w:w="108" w:type="dxa"/>
            <w:bottom w:w="0" w:type="dxa"/>
            <w:right w:w="108" w:type="dxa"/>
          </w:tblCellMar>
        </w:tblPrEx>
        <w:trPr>
          <w:trHeight w:val="375" w:hRule="atLeast"/>
          <w:tblHeader/>
        </w:trPr>
        <w:tc>
          <w:tcPr>
            <w:tcW w:w="93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序号</w:t>
            </w:r>
          </w:p>
        </w:tc>
        <w:tc>
          <w:tcPr>
            <w:tcW w:w="3532" w:type="dxa"/>
            <w:tcBorders>
              <w:top w:val="single" w:color="auto" w:sz="4" w:space="0"/>
              <w:left w:val="nil"/>
              <w:bottom w:val="single" w:color="auto" w:sz="4" w:space="0"/>
              <w:right w:val="single" w:color="auto" w:sz="4" w:space="0"/>
            </w:tcBorders>
            <w:vAlign w:val="center"/>
          </w:tcPr>
          <w:p>
            <w:pPr>
              <w:jc w:val="center"/>
            </w:pPr>
            <w:r>
              <w:rPr>
                <w:rFonts w:hint="eastAsia"/>
              </w:rPr>
              <w:t>仪 器 名 称</w:t>
            </w:r>
          </w:p>
        </w:tc>
        <w:tc>
          <w:tcPr>
            <w:tcW w:w="930" w:type="dxa"/>
            <w:tcBorders>
              <w:top w:val="single" w:color="auto" w:sz="4" w:space="0"/>
              <w:left w:val="nil"/>
              <w:bottom w:val="single" w:color="auto" w:sz="4" w:space="0"/>
              <w:right w:val="single" w:color="auto" w:sz="4" w:space="0"/>
            </w:tcBorders>
            <w:vAlign w:val="center"/>
          </w:tcPr>
          <w:p>
            <w:pPr>
              <w:jc w:val="center"/>
            </w:pPr>
            <w:r>
              <w:rPr>
                <w:rFonts w:hint="eastAsia"/>
              </w:rPr>
              <w:t>序号</w:t>
            </w:r>
          </w:p>
        </w:tc>
        <w:tc>
          <w:tcPr>
            <w:tcW w:w="4462" w:type="dxa"/>
            <w:tcBorders>
              <w:top w:val="single" w:color="auto" w:sz="4" w:space="0"/>
              <w:left w:val="nil"/>
              <w:bottom w:val="single" w:color="auto" w:sz="4" w:space="0"/>
              <w:right w:val="single" w:color="auto" w:sz="4" w:space="0"/>
            </w:tcBorders>
            <w:vAlign w:val="center"/>
          </w:tcPr>
          <w:p>
            <w:pPr>
              <w:jc w:val="center"/>
            </w:pPr>
            <w:r>
              <w:rPr>
                <w:rFonts w:hint="eastAsia"/>
              </w:rPr>
              <w:t>仪 器 名 称</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vAlign w:val="center"/>
          </w:tcPr>
          <w:p>
            <w:pPr>
              <w:jc w:val="center"/>
            </w:pPr>
            <w:r>
              <w:rPr>
                <w:rFonts w:hint="eastAsia"/>
              </w:rPr>
              <w:t>1</w:t>
            </w:r>
          </w:p>
        </w:tc>
        <w:tc>
          <w:tcPr>
            <w:tcW w:w="3532" w:type="dxa"/>
            <w:tcBorders>
              <w:top w:val="nil"/>
              <w:left w:val="nil"/>
              <w:bottom w:val="single" w:color="auto" w:sz="4" w:space="0"/>
              <w:right w:val="single" w:color="auto" w:sz="4" w:space="0"/>
            </w:tcBorders>
            <w:vAlign w:val="center"/>
          </w:tcPr>
          <w:p>
            <w:pPr>
              <w:jc w:val="center"/>
            </w:pPr>
            <w:r>
              <w:rPr>
                <w:rFonts w:hint="eastAsia"/>
              </w:rPr>
              <w:t>提取浓缩机组</w:t>
            </w:r>
          </w:p>
        </w:tc>
        <w:tc>
          <w:tcPr>
            <w:tcW w:w="930" w:type="dxa"/>
            <w:tcBorders>
              <w:top w:val="nil"/>
              <w:left w:val="nil"/>
              <w:bottom w:val="single" w:color="auto" w:sz="4" w:space="0"/>
              <w:right w:val="single" w:color="auto" w:sz="4" w:space="0"/>
            </w:tcBorders>
            <w:vAlign w:val="center"/>
          </w:tcPr>
          <w:p>
            <w:pPr>
              <w:jc w:val="center"/>
            </w:pPr>
            <w:r>
              <w:rPr>
                <w:rFonts w:hint="eastAsia"/>
              </w:rPr>
              <w:t>20</w:t>
            </w:r>
          </w:p>
        </w:tc>
        <w:tc>
          <w:tcPr>
            <w:tcW w:w="4462" w:type="dxa"/>
            <w:tcBorders>
              <w:top w:val="nil"/>
              <w:left w:val="nil"/>
              <w:bottom w:val="single" w:color="auto" w:sz="4" w:space="0"/>
              <w:right w:val="single" w:color="auto" w:sz="4" w:space="0"/>
            </w:tcBorders>
            <w:vAlign w:val="center"/>
          </w:tcPr>
          <w:p>
            <w:pPr>
              <w:jc w:val="center"/>
            </w:pPr>
            <w:r>
              <w:rPr>
                <w:rFonts w:hint="eastAsia"/>
              </w:rPr>
              <w:t>傅里叶变换红外光谱仪</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rPr>
              <w:t>2</w:t>
            </w:r>
          </w:p>
        </w:tc>
        <w:tc>
          <w:tcPr>
            <w:tcW w:w="3532" w:type="dxa"/>
            <w:tcBorders>
              <w:top w:val="nil"/>
              <w:left w:val="nil"/>
              <w:bottom w:val="single" w:color="auto" w:sz="4" w:space="0"/>
              <w:right w:val="single" w:color="auto" w:sz="4" w:space="0"/>
            </w:tcBorders>
            <w:shd w:val="clear" w:color="000000" w:fill="FFFFFF"/>
            <w:vAlign w:val="center"/>
          </w:tcPr>
          <w:p>
            <w:pPr>
              <w:jc w:val="center"/>
            </w:pPr>
            <w:r>
              <w:rPr>
                <w:rFonts w:hint="eastAsia"/>
              </w:rPr>
              <w:t>自冷式粉碎机</w:t>
            </w:r>
          </w:p>
        </w:tc>
        <w:tc>
          <w:tcPr>
            <w:tcW w:w="930" w:type="dxa"/>
            <w:tcBorders>
              <w:top w:val="nil"/>
              <w:left w:val="nil"/>
              <w:bottom w:val="single" w:color="auto" w:sz="4" w:space="0"/>
              <w:right w:val="single" w:color="auto" w:sz="4" w:space="0"/>
            </w:tcBorders>
            <w:shd w:val="clear" w:color="000000" w:fill="FFFFFF"/>
            <w:vAlign w:val="center"/>
          </w:tcPr>
          <w:p>
            <w:pPr>
              <w:jc w:val="center"/>
            </w:pPr>
            <w:r>
              <w:rPr>
                <w:rFonts w:hint="eastAsia"/>
              </w:rPr>
              <w:t>21</w:t>
            </w:r>
          </w:p>
        </w:tc>
        <w:tc>
          <w:tcPr>
            <w:tcW w:w="4462" w:type="dxa"/>
            <w:tcBorders>
              <w:top w:val="nil"/>
              <w:left w:val="nil"/>
              <w:bottom w:val="single" w:color="auto" w:sz="4" w:space="0"/>
              <w:right w:val="single" w:color="auto" w:sz="4" w:space="0"/>
            </w:tcBorders>
            <w:shd w:val="clear" w:color="000000" w:fill="FFFFFF"/>
            <w:vAlign w:val="center"/>
          </w:tcPr>
          <w:p>
            <w:pPr>
              <w:jc w:val="center"/>
            </w:pPr>
            <w:r>
              <w:rPr>
                <w:rFonts w:hint="eastAsia"/>
              </w:rPr>
              <w:t>岛津高效液相色谱仪</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vAlign w:val="center"/>
          </w:tcPr>
          <w:p>
            <w:pPr>
              <w:jc w:val="center"/>
            </w:pPr>
            <w:r>
              <w:rPr>
                <w:rFonts w:hint="eastAsia"/>
              </w:rPr>
              <w:t>3</w:t>
            </w:r>
          </w:p>
        </w:tc>
        <w:tc>
          <w:tcPr>
            <w:tcW w:w="3532" w:type="dxa"/>
            <w:tcBorders>
              <w:top w:val="nil"/>
              <w:left w:val="nil"/>
              <w:bottom w:val="single" w:color="auto" w:sz="4" w:space="0"/>
              <w:right w:val="single" w:color="auto" w:sz="4" w:space="0"/>
            </w:tcBorders>
            <w:vAlign w:val="center"/>
          </w:tcPr>
          <w:p>
            <w:pPr>
              <w:jc w:val="center"/>
            </w:pPr>
            <w:r>
              <w:rPr>
                <w:rFonts w:hint="eastAsia"/>
              </w:rPr>
              <w:t>万能粉碎机</w:t>
            </w:r>
          </w:p>
        </w:tc>
        <w:tc>
          <w:tcPr>
            <w:tcW w:w="930" w:type="dxa"/>
            <w:tcBorders>
              <w:top w:val="nil"/>
              <w:left w:val="nil"/>
              <w:bottom w:val="single" w:color="auto" w:sz="4" w:space="0"/>
              <w:right w:val="single" w:color="auto" w:sz="4" w:space="0"/>
            </w:tcBorders>
            <w:vAlign w:val="center"/>
          </w:tcPr>
          <w:p>
            <w:pPr>
              <w:jc w:val="center"/>
            </w:pPr>
            <w:r>
              <w:rPr>
                <w:rFonts w:hint="eastAsia"/>
              </w:rPr>
              <w:t>22</w:t>
            </w:r>
          </w:p>
        </w:tc>
        <w:tc>
          <w:tcPr>
            <w:tcW w:w="4462" w:type="dxa"/>
            <w:tcBorders>
              <w:top w:val="nil"/>
              <w:left w:val="nil"/>
              <w:bottom w:val="single" w:color="auto" w:sz="4" w:space="0"/>
              <w:right w:val="single" w:color="auto" w:sz="4" w:space="0"/>
            </w:tcBorders>
            <w:vAlign w:val="center"/>
          </w:tcPr>
          <w:p>
            <w:pPr>
              <w:jc w:val="center"/>
            </w:pPr>
            <w:r>
              <w:rPr>
                <w:rFonts w:hint="eastAsia"/>
              </w:rPr>
              <w:t>自动旋光仪</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vAlign w:val="center"/>
          </w:tcPr>
          <w:p>
            <w:pPr>
              <w:jc w:val="center"/>
            </w:pPr>
            <w:r>
              <w:rPr>
                <w:rFonts w:hint="eastAsia"/>
              </w:rPr>
              <w:t>4</w:t>
            </w:r>
          </w:p>
        </w:tc>
        <w:tc>
          <w:tcPr>
            <w:tcW w:w="3532" w:type="dxa"/>
            <w:tcBorders>
              <w:top w:val="nil"/>
              <w:left w:val="nil"/>
              <w:bottom w:val="single" w:color="auto" w:sz="4" w:space="0"/>
              <w:right w:val="single" w:color="auto" w:sz="4" w:space="0"/>
            </w:tcBorders>
            <w:vAlign w:val="center"/>
          </w:tcPr>
          <w:p>
            <w:pPr>
              <w:jc w:val="center"/>
            </w:pPr>
            <w:r>
              <w:rPr>
                <w:rFonts w:hint="eastAsia"/>
              </w:rPr>
              <w:t>振动筛</w:t>
            </w:r>
          </w:p>
        </w:tc>
        <w:tc>
          <w:tcPr>
            <w:tcW w:w="930" w:type="dxa"/>
            <w:tcBorders>
              <w:top w:val="nil"/>
              <w:left w:val="nil"/>
              <w:bottom w:val="single" w:color="auto" w:sz="4" w:space="0"/>
              <w:right w:val="single" w:color="auto" w:sz="4" w:space="0"/>
            </w:tcBorders>
            <w:vAlign w:val="center"/>
          </w:tcPr>
          <w:p>
            <w:pPr>
              <w:jc w:val="center"/>
            </w:pPr>
            <w:r>
              <w:rPr>
                <w:rFonts w:hint="eastAsia"/>
              </w:rPr>
              <w:t>23</w:t>
            </w:r>
          </w:p>
        </w:tc>
        <w:tc>
          <w:tcPr>
            <w:tcW w:w="4462" w:type="dxa"/>
            <w:tcBorders>
              <w:top w:val="nil"/>
              <w:left w:val="nil"/>
              <w:bottom w:val="single" w:color="auto" w:sz="4" w:space="0"/>
              <w:right w:val="single" w:color="auto" w:sz="4" w:space="0"/>
            </w:tcBorders>
            <w:vAlign w:val="center"/>
          </w:tcPr>
          <w:p>
            <w:pPr>
              <w:jc w:val="center"/>
            </w:pPr>
            <w:r>
              <w:rPr>
                <w:rFonts w:hint="eastAsia"/>
              </w:rPr>
              <w:t>SX系列箱式电阻炉</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vAlign w:val="center"/>
          </w:tcPr>
          <w:p>
            <w:pPr>
              <w:jc w:val="center"/>
            </w:pPr>
            <w:r>
              <w:rPr>
                <w:rFonts w:hint="eastAsia"/>
              </w:rPr>
              <w:t>5</w:t>
            </w:r>
          </w:p>
        </w:tc>
        <w:tc>
          <w:tcPr>
            <w:tcW w:w="3532" w:type="dxa"/>
            <w:tcBorders>
              <w:top w:val="nil"/>
              <w:left w:val="nil"/>
              <w:bottom w:val="single" w:color="auto" w:sz="4" w:space="0"/>
              <w:right w:val="single" w:color="auto" w:sz="4" w:space="0"/>
            </w:tcBorders>
            <w:vAlign w:val="center"/>
          </w:tcPr>
          <w:p>
            <w:pPr>
              <w:jc w:val="center"/>
            </w:pPr>
            <w:r>
              <w:rPr>
                <w:rFonts w:hint="eastAsia"/>
              </w:rPr>
              <w:t>口服液灌装轧盖机</w:t>
            </w:r>
          </w:p>
        </w:tc>
        <w:tc>
          <w:tcPr>
            <w:tcW w:w="930" w:type="dxa"/>
            <w:tcBorders>
              <w:top w:val="nil"/>
              <w:left w:val="nil"/>
              <w:bottom w:val="single" w:color="auto" w:sz="4" w:space="0"/>
              <w:right w:val="single" w:color="auto" w:sz="4" w:space="0"/>
            </w:tcBorders>
            <w:vAlign w:val="center"/>
          </w:tcPr>
          <w:p>
            <w:pPr>
              <w:jc w:val="center"/>
            </w:pPr>
            <w:r>
              <w:rPr>
                <w:rFonts w:hint="eastAsia"/>
              </w:rPr>
              <w:t>24</w:t>
            </w:r>
          </w:p>
        </w:tc>
        <w:tc>
          <w:tcPr>
            <w:tcW w:w="4462" w:type="dxa"/>
            <w:tcBorders>
              <w:top w:val="nil"/>
              <w:left w:val="nil"/>
              <w:bottom w:val="single" w:color="auto" w:sz="4" w:space="0"/>
              <w:right w:val="single" w:color="auto" w:sz="4" w:space="0"/>
            </w:tcBorders>
            <w:vAlign w:val="center"/>
          </w:tcPr>
          <w:p>
            <w:pPr>
              <w:jc w:val="center"/>
            </w:pPr>
            <w:r>
              <w:rPr>
                <w:rFonts w:hint="eastAsia"/>
              </w:rPr>
              <w:t>雷磁ph计</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vAlign w:val="center"/>
          </w:tcPr>
          <w:p>
            <w:pPr>
              <w:jc w:val="center"/>
            </w:pPr>
            <w:r>
              <w:rPr>
                <w:rFonts w:hint="eastAsia"/>
              </w:rPr>
              <w:t>6</w:t>
            </w:r>
          </w:p>
        </w:tc>
        <w:tc>
          <w:tcPr>
            <w:tcW w:w="3532" w:type="dxa"/>
            <w:tcBorders>
              <w:top w:val="nil"/>
              <w:left w:val="nil"/>
              <w:bottom w:val="single" w:color="auto" w:sz="4" w:space="0"/>
              <w:right w:val="single" w:color="auto" w:sz="4" w:space="0"/>
            </w:tcBorders>
            <w:vAlign w:val="center"/>
          </w:tcPr>
          <w:p>
            <w:pPr>
              <w:jc w:val="center"/>
            </w:pPr>
            <w:r>
              <w:rPr>
                <w:rFonts w:hint="eastAsia"/>
              </w:rPr>
              <w:t>远红外快速干燥烘箱</w:t>
            </w:r>
          </w:p>
        </w:tc>
        <w:tc>
          <w:tcPr>
            <w:tcW w:w="930" w:type="dxa"/>
            <w:tcBorders>
              <w:top w:val="nil"/>
              <w:left w:val="nil"/>
              <w:bottom w:val="single" w:color="auto" w:sz="4" w:space="0"/>
              <w:right w:val="single" w:color="auto" w:sz="4" w:space="0"/>
            </w:tcBorders>
            <w:vAlign w:val="center"/>
          </w:tcPr>
          <w:p>
            <w:pPr>
              <w:jc w:val="center"/>
            </w:pPr>
            <w:r>
              <w:rPr>
                <w:rFonts w:hint="eastAsia"/>
              </w:rPr>
              <w:t>25</w:t>
            </w:r>
          </w:p>
        </w:tc>
        <w:tc>
          <w:tcPr>
            <w:tcW w:w="4462" w:type="dxa"/>
            <w:tcBorders>
              <w:top w:val="nil"/>
              <w:left w:val="nil"/>
              <w:bottom w:val="single" w:color="auto" w:sz="4" w:space="0"/>
              <w:right w:val="single" w:color="auto" w:sz="4" w:space="0"/>
            </w:tcBorders>
            <w:vAlign w:val="center"/>
          </w:tcPr>
          <w:p>
            <w:pPr>
              <w:jc w:val="center"/>
            </w:pPr>
            <w:r>
              <w:rPr>
                <w:rFonts w:hint="eastAsia"/>
              </w:rPr>
              <w:t>烘干法水分测定仪</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vAlign w:val="center"/>
          </w:tcPr>
          <w:p>
            <w:pPr>
              <w:jc w:val="center"/>
            </w:pPr>
            <w:r>
              <w:rPr>
                <w:rFonts w:hint="eastAsia"/>
              </w:rPr>
              <w:t>7</w:t>
            </w:r>
          </w:p>
        </w:tc>
        <w:tc>
          <w:tcPr>
            <w:tcW w:w="3532" w:type="dxa"/>
            <w:tcBorders>
              <w:top w:val="nil"/>
              <w:left w:val="nil"/>
              <w:bottom w:val="single" w:color="auto" w:sz="4" w:space="0"/>
              <w:right w:val="single" w:color="auto" w:sz="4" w:space="0"/>
            </w:tcBorders>
            <w:vAlign w:val="center"/>
          </w:tcPr>
          <w:p>
            <w:pPr>
              <w:jc w:val="center"/>
            </w:pPr>
            <w:r>
              <w:rPr>
                <w:rFonts w:hint="eastAsia"/>
              </w:rPr>
              <w:t>热风循环烘箱</w:t>
            </w:r>
          </w:p>
        </w:tc>
        <w:tc>
          <w:tcPr>
            <w:tcW w:w="930" w:type="dxa"/>
            <w:tcBorders>
              <w:top w:val="nil"/>
              <w:left w:val="nil"/>
              <w:bottom w:val="single" w:color="auto" w:sz="4" w:space="0"/>
              <w:right w:val="single" w:color="auto" w:sz="4" w:space="0"/>
            </w:tcBorders>
            <w:vAlign w:val="center"/>
          </w:tcPr>
          <w:p>
            <w:pPr>
              <w:jc w:val="center"/>
            </w:pPr>
            <w:r>
              <w:rPr>
                <w:rFonts w:hint="eastAsia"/>
              </w:rPr>
              <w:t>26</w:t>
            </w:r>
          </w:p>
        </w:tc>
        <w:tc>
          <w:tcPr>
            <w:tcW w:w="4462" w:type="dxa"/>
            <w:tcBorders>
              <w:top w:val="nil"/>
              <w:left w:val="nil"/>
              <w:bottom w:val="single" w:color="auto" w:sz="4" w:space="0"/>
              <w:right w:val="single" w:color="auto" w:sz="4" w:space="0"/>
            </w:tcBorders>
            <w:vAlign w:val="center"/>
          </w:tcPr>
          <w:p>
            <w:pPr>
              <w:jc w:val="center"/>
            </w:pPr>
            <w:r>
              <w:rPr>
                <w:rFonts w:hint="eastAsia"/>
              </w:rPr>
              <w:t>岛津水份仪</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vAlign w:val="center"/>
          </w:tcPr>
          <w:p>
            <w:pPr>
              <w:jc w:val="center"/>
            </w:pPr>
            <w:r>
              <w:rPr>
                <w:rFonts w:hint="eastAsia"/>
              </w:rPr>
              <w:t>8</w:t>
            </w:r>
          </w:p>
        </w:tc>
        <w:tc>
          <w:tcPr>
            <w:tcW w:w="3532" w:type="dxa"/>
            <w:tcBorders>
              <w:top w:val="nil"/>
              <w:left w:val="nil"/>
              <w:bottom w:val="single" w:color="auto" w:sz="4" w:space="0"/>
              <w:right w:val="single" w:color="auto" w:sz="4" w:space="0"/>
            </w:tcBorders>
            <w:vAlign w:val="center"/>
          </w:tcPr>
          <w:p>
            <w:pPr>
              <w:jc w:val="center"/>
            </w:pPr>
            <w:r>
              <w:rPr>
                <w:rFonts w:hint="eastAsia"/>
              </w:rPr>
              <w:t>整粒机</w:t>
            </w:r>
          </w:p>
        </w:tc>
        <w:tc>
          <w:tcPr>
            <w:tcW w:w="930" w:type="dxa"/>
            <w:tcBorders>
              <w:top w:val="nil"/>
              <w:left w:val="nil"/>
              <w:bottom w:val="single" w:color="auto" w:sz="4" w:space="0"/>
              <w:right w:val="single" w:color="auto" w:sz="4" w:space="0"/>
            </w:tcBorders>
            <w:vAlign w:val="center"/>
          </w:tcPr>
          <w:p>
            <w:pPr>
              <w:jc w:val="center"/>
            </w:pPr>
            <w:r>
              <w:rPr>
                <w:rFonts w:hint="eastAsia"/>
              </w:rPr>
              <w:t>27</w:t>
            </w:r>
          </w:p>
        </w:tc>
        <w:tc>
          <w:tcPr>
            <w:tcW w:w="4462" w:type="dxa"/>
            <w:tcBorders>
              <w:top w:val="nil"/>
              <w:left w:val="nil"/>
              <w:bottom w:val="single" w:color="auto" w:sz="4" w:space="0"/>
              <w:right w:val="single" w:color="auto" w:sz="4" w:space="0"/>
            </w:tcBorders>
            <w:vAlign w:val="center"/>
          </w:tcPr>
          <w:p>
            <w:pPr>
              <w:jc w:val="center"/>
            </w:pPr>
            <w:r>
              <w:rPr>
                <w:rFonts w:hint="eastAsia"/>
              </w:rPr>
              <w:t>紫外可见分光光度计</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vAlign w:val="center"/>
          </w:tcPr>
          <w:p>
            <w:pPr>
              <w:jc w:val="center"/>
            </w:pPr>
            <w:r>
              <w:rPr>
                <w:rFonts w:hint="eastAsia"/>
              </w:rPr>
              <w:t>9</w:t>
            </w:r>
          </w:p>
        </w:tc>
        <w:tc>
          <w:tcPr>
            <w:tcW w:w="3532" w:type="dxa"/>
            <w:tcBorders>
              <w:top w:val="nil"/>
              <w:left w:val="nil"/>
              <w:bottom w:val="single" w:color="auto" w:sz="4" w:space="0"/>
              <w:right w:val="single" w:color="auto" w:sz="4" w:space="0"/>
            </w:tcBorders>
            <w:vAlign w:val="center"/>
          </w:tcPr>
          <w:p>
            <w:pPr>
              <w:jc w:val="center"/>
            </w:pPr>
            <w:r>
              <w:rPr>
                <w:rFonts w:hint="eastAsia"/>
              </w:rPr>
              <w:t>颗粒自动包装机</w:t>
            </w:r>
          </w:p>
        </w:tc>
        <w:tc>
          <w:tcPr>
            <w:tcW w:w="930" w:type="dxa"/>
            <w:tcBorders>
              <w:top w:val="nil"/>
              <w:left w:val="nil"/>
              <w:bottom w:val="single" w:color="auto" w:sz="4" w:space="0"/>
              <w:right w:val="single" w:color="auto" w:sz="4" w:space="0"/>
            </w:tcBorders>
            <w:vAlign w:val="center"/>
          </w:tcPr>
          <w:p>
            <w:pPr>
              <w:jc w:val="center"/>
            </w:pPr>
            <w:r>
              <w:rPr>
                <w:rFonts w:hint="eastAsia"/>
              </w:rPr>
              <w:t>28</w:t>
            </w:r>
          </w:p>
        </w:tc>
        <w:tc>
          <w:tcPr>
            <w:tcW w:w="4462" w:type="dxa"/>
            <w:tcBorders>
              <w:top w:val="nil"/>
              <w:left w:val="nil"/>
              <w:bottom w:val="single" w:color="auto" w:sz="4" w:space="0"/>
              <w:right w:val="single" w:color="auto" w:sz="4" w:space="0"/>
            </w:tcBorders>
            <w:vAlign w:val="center"/>
          </w:tcPr>
          <w:p>
            <w:pPr>
              <w:jc w:val="center"/>
            </w:pPr>
            <w:r>
              <w:rPr>
                <w:rFonts w:hint="eastAsia"/>
              </w:rPr>
              <w:t>旋转蒸发器</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rPr>
              <w:t>10</w:t>
            </w:r>
          </w:p>
        </w:tc>
        <w:tc>
          <w:tcPr>
            <w:tcW w:w="3532" w:type="dxa"/>
            <w:tcBorders>
              <w:top w:val="nil"/>
              <w:left w:val="nil"/>
              <w:bottom w:val="single" w:color="auto" w:sz="4" w:space="0"/>
              <w:right w:val="single" w:color="auto" w:sz="4" w:space="0"/>
            </w:tcBorders>
            <w:shd w:val="clear" w:color="000000" w:fill="FFFFFF"/>
            <w:vAlign w:val="center"/>
          </w:tcPr>
          <w:p>
            <w:pPr>
              <w:jc w:val="center"/>
            </w:pPr>
            <w:r>
              <w:rPr>
                <w:rFonts w:hint="eastAsia"/>
              </w:rPr>
              <w:t>胶囊片剂抛光机</w:t>
            </w:r>
          </w:p>
        </w:tc>
        <w:tc>
          <w:tcPr>
            <w:tcW w:w="930" w:type="dxa"/>
            <w:tcBorders>
              <w:top w:val="nil"/>
              <w:left w:val="nil"/>
              <w:bottom w:val="single" w:color="auto" w:sz="4" w:space="0"/>
              <w:right w:val="single" w:color="auto" w:sz="4" w:space="0"/>
            </w:tcBorders>
            <w:shd w:val="clear" w:color="000000" w:fill="FFFFFF"/>
            <w:vAlign w:val="center"/>
          </w:tcPr>
          <w:p>
            <w:pPr>
              <w:jc w:val="center"/>
            </w:pPr>
            <w:r>
              <w:rPr>
                <w:rFonts w:hint="eastAsia"/>
              </w:rPr>
              <w:t>29</w:t>
            </w:r>
          </w:p>
        </w:tc>
        <w:tc>
          <w:tcPr>
            <w:tcW w:w="4462" w:type="dxa"/>
            <w:tcBorders>
              <w:top w:val="nil"/>
              <w:left w:val="nil"/>
              <w:bottom w:val="single" w:color="auto" w:sz="4" w:space="0"/>
              <w:right w:val="single" w:color="auto" w:sz="4" w:space="0"/>
            </w:tcBorders>
            <w:shd w:val="clear" w:color="000000" w:fill="FFFFFF"/>
            <w:vAlign w:val="center"/>
          </w:tcPr>
          <w:p>
            <w:pPr>
              <w:jc w:val="center"/>
            </w:pPr>
            <w:r>
              <w:rPr>
                <w:rFonts w:hint="eastAsia"/>
              </w:rPr>
              <w:t>超级恒温水浴</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vAlign w:val="center"/>
          </w:tcPr>
          <w:p>
            <w:pPr>
              <w:jc w:val="center"/>
            </w:pPr>
            <w:r>
              <w:rPr>
                <w:rFonts w:hint="eastAsia"/>
              </w:rPr>
              <w:t>11</w:t>
            </w:r>
          </w:p>
        </w:tc>
        <w:tc>
          <w:tcPr>
            <w:tcW w:w="3532" w:type="dxa"/>
            <w:tcBorders>
              <w:top w:val="nil"/>
              <w:left w:val="nil"/>
              <w:bottom w:val="single" w:color="auto" w:sz="4" w:space="0"/>
              <w:right w:val="single" w:color="auto" w:sz="4" w:space="0"/>
            </w:tcBorders>
            <w:vAlign w:val="center"/>
          </w:tcPr>
          <w:p>
            <w:pPr>
              <w:jc w:val="center"/>
            </w:pPr>
            <w:r>
              <w:rPr>
                <w:rFonts w:hint="eastAsia"/>
              </w:rPr>
              <w:t>半自动胶囊填充机</w:t>
            </w:r>
          </w:p>
        </w:tc>
        <w:tc>
          <w:tcPr>
            <w:tcW w:w="930" w:type="dxa"/>
            <w:tcBorders>
              <w:top w:val="nil"/>
              <w:left w:val="nil"/>
              <w:bottom w:val="single" w:color="auto" w:sz="4" w:space="0"/>
              <w:right w:val="single" w:color="auto" w:sz="4" w:space="0"/>
            </w:tcBorders>
            <w:vAlign w:val="center"/>
          </w:tcPr>
          <w:p>
            <w:pPr>
              <w:jc w:val="center"/>
            </w:pPr>
            <w:r>
              <w:rPr>
                <w:rFonts w:hint="eastAsia"/>
              </w:rPr>
              <w:t>30</w:t>
            </w:r>
          </w:p>
        </w:tc>
        <w:tc>
          <w:tcPr>
            <w:tcW w:w="4462" w:type="dxa"/>
            <w:tcBorders>
              <w:top w:val="nil"/>
              <w:left w:val="nil"/>
              <w:bottom w:val="single" w:color="auto" w:sz="4" w:space="0"/>
              <w:right w:val="single" w:color="auto" w:sz="4" w:space="0"/>
            </w:tcBorders>
            <w:vAlign w:val="center"/>
          </w:tcPr>
          <w:p>
            <w:pPr>
              <w:jc w:val="center"/>
            </w:pPr>
            <w:r>
              <w:rPr>
                <w:rFonts w:hint="eastAsia"/>
              </w:rPr>
              <w:t>循环水式真空泵</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vAlign w:val="center"/>
          </w:tcPr>
          <w:p>
            <w:pPr>
              <w:jc w:val="center"/>
            </w:pPr>
            <w:r>
              <w:rPr>
                <w:rFonts w:hint="eastAsia"/>
              </w:rPr>
              <w:t>12</w:t>
            </w:r>
          </w:p>
        </w:tc>
        <w:tc>
          <w:tcPr>
            <w:tcW w:w="3532" w:type="dxa"/>
            <w:tcBorders>
              <w:top w:val="nil"/>
              <w:left w:val="nil"/>
              <w:bottom w:val="single" w:color="auto" w:sz="4" w:space="0"/>
              <w:right w:val="single" w:color="auto" w:sz="4" w:space="0"/>
            </w:tcBorders>
            <w:vAlign w:val="center"/>
          </w:tcPr>
          <w:p>
            <w:pPr>
              <w:jc w:val="center"/>
            </w:pPr>
            <w:r>
              <w:rPr>
                <w:rFonts w:hint="eastAsia"/>
              </w:rPr>
              <w:t>旋转式压片机</w:t>
            </w:r>
          </w:p>
        </w:tc>
        <w:tc>
          <w:tcPr>
            <w:tcW w:w="930" w:type="dxa"/>
            <w:tcBorders>
              <w:top w:val="nil"/>
              <w:left w:val="nil"/>
              <w:bottom w:val="single" w:color="auto" w:sz="4" w:space="0"/>
              <w:right w:val="single" w:color="auto" w:sz="4" w:space="0"/>
            </w:tcBorders>
            <w:vAlign w:val="center"/>
          </w:tcPr>
          <w:p>
            <w:pPr>
              <w:jc w:val="center"/>
            </w:pPr>
            <w:r>
              <w:rPr>
                <w:rFonts w:hint="eastAsia"/>
              </w:rPr>
              <w:t>31</w:t>
            </w:r>
          </w:p>
        </w:tc>
        <w:tc>
          <w:tcPr>
            <w:tcW w:w="4462" w:type="dxa"/>
            <w:tcBorders>
              <w:top w:val="nil"/>
              <w:left w:val="nil"/>
              <w:bottom w:val="single" w:color="auto" w:sz="4" w:space="0"/>
              <w:right w:val="single" w:color="auto" w:sz="4" w:space="0"/>
            </w:tcBorders>
            <w:vAlign w:val="center"/>
          </w:tcPr>
          <w:p>
            <w:pPr>
              <w:jc w:val="center"/>
            </w:pPr>
            <w:r>
              <w:rPr>
                <w:rFonts w:hint="eastAsia"/>
              </w:rPr>
              <w:t>参茸中药切片机</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vAlign w:val="center"/>
          </w:tcPr>
          <w:p>
            <w:pPr>
              <w:jc w:val="center"/>
            </w:pPr>
            <w:r>
              <w:rPr>
                <w:rFonts w:hint="eastAsia"/>
              </w:rPr>
              <w:t>13</w:t>
            </w:r>
          </w:p>
        </w:tc>
        <w:tc>
          <w:tcPr>
            <w:tcW w:w="3532" w:type="dxa"/>
            <w:tcBorders>
              <w:top w:val="nil"/>
              <w:left w:val="nil"/>
              <w:bottom w:val="single" w:color="auto" w:sz="4" w:space="0"/>
              <w:right w:val="single" w:color="auto" w:sz="4" w:space="0"/>
            </w:tcBorders>
            <w:vAlign w:val="center"/>
          </w:tcPr>
          <w:p>
            <w:pPr>
              <w:jc w:val="center"/>
            </w:pPr>
            <w:r>
              <w:rPr>
                <w:rFonts w:hint="eastAsia"/>
              </w:rPr>
              <w:t>筛片机</w:t>
            </w:r>
          </w:p>
        </w:tc>
        <w:tc>
          <w:tcPr>
            <w:tcW w:w="930" w:type="dxa"/>
            <w:tcBorders>
              <w:top w:val="nil"/>
              <w:left w:val="nil"/>
              <w:bottom w:val="single" w:color="auto" w:sz="4" w:space="0"/>
              <w:right w:val="single" w:color="auto" w:sz="4" w:space="0"/>
            </w:tcBorders>
            <w:vAlign w:val="center"/>
          </w:tcPr>
          <w:p>
            <w:pPr>
              <w:jc w:val="center"/>
            </w:pPr>
            <w:r>
              <w:rPr>
                <w:rFonts w:hint="eastAsia"/>
              </w:rPr>
              <w:t>32</w:t>
            </w:r>
          </w:p>
        </w:tc>
        <w:tc>
          <w:tcPr>
            <w:tcW w:w="4462" w:type="dxa"/>
            <w:tcBorders>
              <w:top w:val="nil"/>
              <w:left w:val="nil"/>
              <w:bottom w:val="single" w:color="auto" w:sz="4" w:space="0"/>
              <w:right w:val="single" w:color="auto" w:sz="4" w:space="0"/>
            </w:tcBorders>
            <w:vAlign w:val="center"/>
          </w:tcPr>
          <w:p>
            <w:pPr>
              <w:jc w:val="center"/>
            </w:pPr>
            <w:r>
              <w:rPr>
                <w:rFonts w:hint="eastAsia"/>
              </w:rPr>
              <w:t>无菌操作台</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vAlign w:val="center"/>
          </w:tcPr>
          <w:p>
            <w:pPr>
              <w:jc w:val="center"/>
            </w:pPr>
            <w:r>
              <w:rPr>
                <w:rFonts w:hint="eastAsia"/>
              </w:rPr>
              <w:t>14</w:t>
            </w:r>
          </w:p>
        </w:tc>
        <w:tc>
          <w:tcPr>
            <w:tcW w:w="3532" w:type="dxa"/>
            <w:tcBorders>
              <w:top w:val="nil"/>
              <w:left w:val="nil"/>
              <w:bottom w:val="single" w:color="auto" w:sz="4" w:space="0"/>
              <w:right w:val="single" w:color="auto" w:sz="4" w:space="0"/>
            </w:tcBorders>
            <w:vAlign w:val="center"/>
          </w:tcPr>
          <w:p>
            <w:pPr>
              <w:jc w:val="center"/>
            </w:pPr>
            <w:r>
              <w:rPr>
                <w:rFonts w:hint="eastAsia"/>
              </w:rPr>
              <w:t>片剂数片装瓶机</w:t>
            </w:r>
          </w:p>
        </w:tc>
        <w:tc>
          <w:tcPr>
            <w:tcW w:w="930" w:type="dxa"/>
            <w:tcBorders>
              <w:top w:val="nil"/>
              <w:left w:val="nil"/>
              <w:bottom w:val="single" w:color="auto" w:sz="4" w:space="0"/>
              <w:right w:val="single" w:color="auto" w:sz="4" w:space="0"/>
            </w:tcBorders>
            <w:vAlign w:val="center"/>
          </w:tcPr>
          <w:p>
            <w:pPr>
              <w:jc w:val="center"/>
            </w:pPr>
            <w:r>
              <w:rPr>
                <w:rFonts w:hint="eastAsia"/>
              </w:rPr>
              <w:t>33</w:t>
            </w:r>
          </w:p>
        </w:tc>
        <w:tc>
          <w:tcPr>
            <w:tcW w:w="4462" w:type="dxa"/>
            <w:tcBorders>
              <w:top w:val="nil"/>
              <w:left w:val="nil"/>
              <w:bottom w:val="single" w:color="auto" w:sz="4" w:space="0"/>
              <w:right w:val="single" w:color="auto" w:sz="4" w:space="0"/>
            </w:tcBorders>
            <w:vAlign w:val="center"/>
          </w:tcPr>
          <w:p>
            <w:pPr>
              <w:jc w:val="center"/>
            </w:pPr>
            <w:r>
              <w:rPr>
                <w:rFonts w:hint="eastAsia"/>
              </w:rPr>
              <w:t>台式压力蒸汽消毒器</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vAlign w:val="center"/>
          </w:tcPr>
          <w:p>
            <w:pPr>
              <w:jc w:val="center"/>
            </w:pPr>
            <w:r>
              <w:rPr>
                <w:rFonts w:hint="eastAsia"/>
              </w:rPr>
              <w:t>15</w:t>
            </w:r>
          </w:p>
        </w:tc>
        <w:tc>
          <w:tcPr>
            <w:tcW w:w="3532" w:type="dxa"/>
            <w:tcBorders>
              <w:top w:val="nil"/>
              <w:left w:val="nil"/>
              <w:bottom w:val="single" w:color="auto" w:sz="4" w:space="0"/>
              <w:right w:val="single" w:color="auto" w:sz="4" w:space="0"/>
            </w:tcBorders>
            <w:vAlign w:val="center"/>
          </w:tcPr>
          <w:p>
            <w:pPr>
              <w:jc w:val="center"/>
            </w:pPr>
            <w:r>
              <w:rPr>
                <w:rFonts w:hint="eastAsia"/>
              </w:rPr>
              <w:t>铝塑泡罩包装机</w:t>
            </w:r>
          </w:p>
        </w:tc>
        <w:tc>
          <w:tcPr>
            <w:tcW w:w="930" w:type="dxa"/>
            <w:tcBorders>
              <w:top w:val="nil"/>
              <w:left w:val="nil"/>
              <w:bottom w:val="single" w:color="auto" w:sz="4" w:space="0"/>
              <w:right w:val="single" w:color="auto" w:sz="4" w:space="0"/>
            </w:tcBorders>
            <w:vAlign w:val="center"/>
          </w:tcPr>
          <w:p>
            <w:pPr>
              <w:jc w:val="center"/>
            </w:pPr>
            <w:r>
              <w:rPr>
                <w:rFonts w:hint="eastAsia"/>
              </w:rPr>
              <w:t>34</w:t>
            </w:r>
          </w:p>
        </w:tc>
        <w:tc>
          <w:tcPr>
            <w:tcW w:w="4462" w:type="dxa"/>
            <w:tcBorders>
              <w:top w:val="nil"/>
              <w:left w:val="nil"/>
              <w:bottom w:val="single" w:color="auto" w:sz="4" w:space="0"/>
              <w:right w:val="single" w:color="auto" w:sz="4" w:space="0"/>
            </w:tcBorders>
            <w:vAlign w:val="center"/>
          </w:tcPr>
          <w:p>
            <w:pPr>
              <w:jc w:val="center"/>
            </w:pPr>
            <w:r>
              <w:rPr>
                <w:rFonts w:hint="eastAsia"/>
              </w:rPr>
              <w:t>恒温培养箱</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vAlign w:val="center"/>
          </w:tcPr>
          <w:p>
            <w:pPr>
              <w:jc w:val="center"/>
            </w:pPr>
            <w:r>
              <w:rPr>
                <w:rFonts w:hint="eastAsia"/>
              </w:rPr>
              <w:t>16</w:t>
            </w:r>
          </w:p>
        </w:tc>
        <w:tc>
          <w:tcPr>
            <w:tcW w:w="3532" w:type="dxa"/>
            <w:tcBorders>
              <w:top w:val="nil"/>
              <w:left w:val="nil"/>
              <w:bottom w:val="single" w:color="auto" w:sz="4" w:space="0"/>
              <w:right w:val="single" w:color="auto" w:sz="4" w:space="0"/>
            </w:tcBorders>
            <w:vAlign w:val="center"/>
          </w:tcPr>
          <w:p>
            <w:pPr>
              <w:jc w:val="center"/>
            </w:pPr>
            <w:r>
              <w:rPr>
                <w:rFonts w:hint="eastAsia"/>
              </w:rPr>
              <w:t>快速整粒机</w:t>
            </w:r>
          </w:p>
        </w:tc>
        <w:tc>
          <w:tcPr>
            <w:tcW w:w="930" w:type="dxa"/>
            <w:tcBorders>
              <w:top w:val="nil"/>
              <w:left w:val="nil"/>
              <w:bottom w:val="single" w:color="auto" w:sz="4" w:space="0"/>
              <w:right w:val="single" w:color="auto" w:sz="4" w:space="0"/>
            </w:tcBorders>
            <w:vAlign w:val="center"/>
          </w:tcPr>
          <w:p>
            <w:pPr>
              <w:jc w:val="center"/>
            </w:pPr>
            <w:r>
              <w:rPr>
                <w:rFonts w:hint="eastAsia"/>
              </w:rPr>
              <w:t>35</w:t>
            </w:r>
          </w:p>
        </w:tc>
        <w:tc>
          <w:tcPr>
            <w:tcW w:w="4462" w:type="dxa"/>
            <w:tcBorders>
              <w:top w:val="nil"/>
              <w:left w:val="nil"/>
              <w:bottom w:val="single" w:color="auto" w:sz="4" w:space="0"/>
              <w:right w:val="single" w:color="auto" w:sz="4" w:space="0"/>
            </w:tcBorders>
            <w:vAlign w:val="center"/>
          </w:tcPr>
          <w:p>
            <w:pPr>
              <w:jc w:val="center"/>
            </w:pPr>
            <w:r>
              <w:rPr>
                <w:rFonts w:hint="eastAsia"/>
              </w:rPr>
              <w:t>人工气候箱</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vAlign w:val="center"/>
          </w:tcPr>
          <w:p>
            <w:pPr>
              <w:jc w:val="center"/>
            </w:pPr>
            <w:r>
              <w:rPr>
                <w:rFonts w:hint="eastAsia"/>
              </w:rPr>
              <w:t>17</w:t>
            </w:r>
          </w:p>
        </w:tc>
        <w:tc>
          <w:tcPr>
            <w:tcW w:w="3532" w:type="dxa"/>
            <w:tcBorders>
              <w:top w:val="nil"/>
              <w:left w:val="nil"/>
              <w:bottom w:val="single" w:color="auto" w:sz="4" w:space="0"/>
              <w:right w:val="single" w:color="auto" w:sz="4" w:space="0"/>
            </w:tcBorders>
            <w:vAlign w:val="center"/>
          </w:tcPr>
          <w:p>
            <w:pPr>
              <w:jc w:val="center"/>
            </w:pPr>
            <w:r>
              <w:rPr>
                <w:rFonts w:hint="eastAsia"/>
              </w:rPr>
              <w:t>热空气消毒器</w:t>
            </w:r>
          </w:p>
        </w:tc>
        <w:tc>
          <w:tcPr>
            <w:tcW w:w="930" w:type="dxa"/>
            <w:tcBorders>
              <w:top w:val="nil"/>
              <w:left w:val="nil"/>
              <w:bottom w:val="single" w:color="auto" w:sz="4" w:space="0"/>
              <w:right w:val="single" w:color="auto" w:sz="4" w:space="0"/>
            </w:tcBorders>
            <w:vAlign w:val="center"/>
          </w:tcPr>
          <w:p>
            <w:pPr>
              <w:jc w:val="center"/>
            </w:pPr>
            <w:r>
              <w:rPr>
                <w:rFonts w:hint="eastAsia"/>
              </w:rPr>
              <w:t>36</w:t>
            </w:r>
          </w:p>
        </w:tc>
        <w:tc>
          <w:tcPr>
            <w:tcW w:w="4462" w:type="dxa"/>
            <w:tcBorders>
              <w:top w:val="nil"/>
              <w:left w:val="nil"/>
              <w:bottom w:val="single" w:color="auto" w:sz="4" w:space="0"/>
              <w:right w:val="single" w:color="auto" w:sz="4" w:space="0"/>
            </w:tcBorders>
            <w:vAlign w:val="center"/>
          </w:tcPr>
          <w:p>
            <w:pPr>
              <w:jc w:val="center"/>
            </w:pPr>
            <w:r>
              <w:rPr>
                <w:rFonts w:hint="eastAsia"/>
              </w:rPr>
              <w:t>超声波细胞粉碎机</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vAlign w:val="center"/>
          </w:tcPr>
          <w:p>
            <w:pPr>
              <w:jc w:val="center"/>
            </w:pPr>
            <w:r>
              <w:rPr>
                <w:rFonts w:hint="eastAsia"/>
              </w:rPr>
              <w:t>18</w:t>
            </w:r>
          </w:p>
        </w:tc>
        <w:tc>
          <w:tcPr>
            <w:tcW w:w="3532" w:type="dxa"/>
            <w:tcBorders>
              <w:top w:val="nil"/>
              <w:left w:val="nil"/>
              <w:bottom w:val="single" w:color="auto" w:sz="4" w:space="0"/>
              <w:right w:val="single" w:color="auto" w:sz="4" w:space="0"/>
            </w:tcBorders>
            <w:vAlign w:val="center"/>
          </w:tcPr>
          <w:p>
            <w:pPr>
              <w:jc w:val="center"/>
            </w:pPr>
            <w:r>
              <w:rPr>
                <w:rFonts w:hint="eastAsia"/>
              </w:rPr>
              <w:t>参茸中药切片机</w:t>
            </w:r>
          </w:p>
        </w:tc>
        <w:tc>
          <w:tcPr>
            <w:tcW w:w="930" w:type="dxa"/>
            <w:tcBorders>
              <w:top w:val="nil"/>
              <w:left w:val="nil"/>
              <w:bottom w:val="single" w:color="auto" w:sz="4" w:space="0"/>
              <w:right w:val="single" w:color="auto" w:sz="4" w:space="0"/>
            </w:tcBorders>
            <w:vAlign w:val="center"/>
          </w:tcPr>
          <w:p>
            <w:pPr>
              <w:jc w:val="center"/>
            </w:pPr>
            <w:r>
              <w:rPr>
                <w:rFonts w:hint="eastAsia"/>
              </w:rPr>
              <w:t>37</w:t>
            </w:r>
          </w:p>
        </w:tc>
        <w:tc>
          <w:tcPr>
            <w:tcW w:w="4462" w:type="dxa"/>
            <w:tcBorders>
              <w:top w:val="nil"/>
              <w:left w:val="nil"/>
              <w:bottom w:val="single" w:color="auto" w:sz="4" w:space="0"/>
              <w:right w:val="single" w:color="auto" w:sz="4" w:space="0"/>
            </w:tcBorders>
            <w:vAlign w:val="center"/>
          </w:tcPr>
          <w:p>
            <w:pPr>
              <w:jc w:val="center"/>
            </w:pPr>
            <w:r>
              <w:rPr>
                <w:rFonts w:hint="eastAsia"/>
              </w:rPr>
              <w:t>微波提取机</w:t>
            </w:r>
          </w:p>
        </w:tc>
      </w:tr>
      <w:tr>
        <w:tblPrEx>
          <w:tblLayout w:type="fixed"/>
          <w:tblCellMar>
            <w:top w:w="0" w:type="dxa"/>
            <w:left w:w="108" w:type="dxa"/>
            <w:bottom w:w="0" w:type="dxa"/>
            <w:right w:w="108" w:type="dxa"/>
          </w:tblCellMar>
        </w:tblPrEx>
        <w:trPr>
          <w:trHeight w:val="259" w:hRule="atLeast"/>
        </w:trPr>
        <w:tc>
          <w:tcPr>
            <w:tcW w:w="930" w:type="dxa"/>
            <w:tcBorders>
              <w:top w:val="nil"/>
              <w:left w:val="single" w:color="auto" w:sz="4" w:space="0"/>
              <w:bottom w:val="single" w:color="auto" w:sz="4" w:space="0"/>
              <w:right w:val="single" w:color="auto" w:sz="4" w:space="0"/>
            </w:tcBorders>
            <w:vAlign w:val="center"/>
          </w:tcPr>
          <w:p>
            <w:pPr>
              <w:jc w:val="center"/>
            </w:pPr>
            <w:r>
              <w:rPr>
                <w:rFonts w:hint="eastAsia"/>
              </w:rPr>
              <w:t>19</w:t>
            </w:r>
          </w:p>
        </w:tc>
        <w:tc>
          <w:tcPr>
            <w:tcW w:w="3532" w:type="dxa"/>
            <w:tcBorders>
              <w:top w:val="nil"/>
              <w:left w:val="nil"/>
              <w:bottom w:val="single" w:color="auto" w:sz="4" w:space="0"/>
              <w:right w:val="single" w:color="auto" w:sz="4" w:space="0"/>
            </w:tcBorders>
            <w:vAlign w:val="center"/>
          </w:tcPr>
          <w:p>
            <w:pPr>
              <w:jc w:val="center"/>
            </w:pPr>
            <w:r>
              <w:rPr>
                <w:rFonts w:hint="eastAsia"/>
              </w:rPr>
              <w:t>小型包衣机</w:t>
            </w:r>
          </w:p>
        </w:tc>
        <w:tc>
          <w:tcPr>
            <w:tcW w:w="930" w:type="dxa"/>
            <w:tcBorders>
              <w:top w:val="nil"/>
              <w:left w:val="nil"/>
              <w:bottom w:val="single" w:color="auto" w:sz="4" w:space="0"/>
              <w:right w:val="single" w:color="auto" w:sz="4" w:space="0"/>
            </w:tcBorders>
            <w:vAlign w:val="center"/>
          </w:tcPr>
          <w:p>
            <w:pPr>
              <w:jc w:val="center"/>
            </w:pPr>
            <w:r>
              <w:rPr>
                <w:rFonts w:hint="eastAsia"/>
              </w:rPr>
              <w:t>38</w:t>
            </w:r>
          </w:p>
        </w:tc>
        <w:tc>
          <w:tcPr>
            <w:tcW w:w="4462" w:type="dxa"/>
            <w:tcBorders>
              <w:top w:val="nil"/>
              <w:left w:val="nil"/>
              <w:bottom w:val="single" w:color="auto" w:sz="4" w:space="0"/>
              <w:right w:val="single" w:color="auto" w:sz="4" w:space="0"/>
            </w:tcBorders>
            <w:vAlign w:val="center"/>
          </w:tcPr>
          <w:p>
            <w:pPr>
              <w:jc w:val="center"/>
            </w:pPr>
            <w:r>
              <w:rPr>
                <w:rFonts w:hint="eastAsia"/>
              </w:rPr>
              <w:t>无菌操作台</w:t>
            </w:r>
          </w:p>
        </w:tc>
      </w:tr>
    </w:tbl>
    <w:p>
      <w:pPr>
        <w:spacing w:line="360" w:lineRule="auto"/>
        <w:ind w:firstLine="482" w:firstLineChars="200"/>
        <w:rPr>
          <w:rFonts w:ascii="宋体" w:hAnsi="宋体" w:eastAsia="宋体" w:cs="宋体"/>
          <w:b/>
          <w:bCs/>
          <w:sz w:val="24"/>
        </w:rPr>
      </w:pPr>
    </w:p>
    <w:p>
      <w:pPr>
        <w:pStyle w:val="4"/>
        <w:spacing w:line="360" w:lineRule="auto"/>
        <w:ind w:firstLine="480" w:firstLineChars="200"/>
        <w:rPr>
          <w:rFonts w:ascii="宋体" w:hAnsi="宋体" w:eastAsia="宋体" w:cs="宋体"/>
          <w:b w:val="0"/>
          <w:bCs/>
          <w:sz w:val="24"/>
        </w:rPr>
      </w:pPr>
      <w:r>
        <w:rPr>
          <w:rFonts w:hint="eastAsia" w:ascii="宋体" w:hAnsi="宋体" w:eastAsia="宋体" w:cs="宋体"/>
          <w:b w:val="0"/>
          <w:bCs/>
          <w:sz w:val="24"/>
        </w:rPr>
        <w:t>2.实习、见习</w:t>
      </w:r>
    </w:p>
    <w:p>
      <w:pPr>
        <w:pStyle w:val="11"/>
        <w:spacing w:line="360" w:lineRule="auto"/>
        <w:ind w:firstLine="480" w:firstLineChars="200"/>
        <w:rPr>
          <w:rFonts w:ascii="宋体" w:hAnsi="宋体" w:eastAsia="宋体" w:cs="宋体"/>
          <w:sz w:val="24"/>
          <w:lang w:val="zh-CN"/>
        </w:rPr>
      </w:pPr>
      <w:r>
        <w:rPr>
          <w:rFonts w:hint="eastAsia" w:ascii="宋体" w:hAnsi="宋体" w:eastAsia="宋体" w:cs="宋体"/>
          <w:sz w:val="24"/>
        </w:rPr>
        <w:t>2.1</w:t>
      </w:r>
      <w:r>
        <w:rPr>
          <w:rFonts w:hint="eastAsia" w:ascii="宋体" w:hAnsi="宋体" w:eastAsia="宋体" w:cs="宋体"/>
          <w:sz w:val="24"/>
          <w:lang w:val="zh-CN"/>
        </w:rPr>
        <w:t>有长期、稳定的教学实训和毕业实习医院 、药厂、中药饮片厂、医药公司35间，均签订有协议，制定完善的实习制度并建立专门机构（实习办公室）管理实习，第五、六学期，安排学生在医院 、医药公司、药厂、中药饮片厂等技术岗位实习，满足</w:t>
      </w:r>
      <w:r>
        <w:rPr>
          <w:rFonts w:hint="eastAsia" w:ascii="宋体" w:hAnsi="宋体" w:eastAsia="宋体" w:cs="宋体"/>
          <w:sz w:val="24"/>
        </w:rPr>
        <w:t>中药学</w:t>
      </w:r>
      <w:r>
        <w:rPr>
          <w:rFonts w:hint="eastAsia" w:ascii="宋体" w:hAnsi="宋体" w:eastAsia="宋体" w:cs="宋体"/>
          <w:sz w:val="24"/>
          <w:lang w:val="zh-CN"/>
        </w:rPr>
        <w:t>专业学生毕业实习的需要。</w:t>
      </w:r>
    </w:p>
    <w:p>
      <w:pPr>
        <w:pStyle w:val="2"/>
        <w:spacing w:line="360" w:lineRule="auto"/>
        <w:ind w:firstLine="480" w:firstLineChars="200"/>
        <w:rPr>
          <w:rFonts w:ascii="宋体" w:hAnsi="宋体" w:eastAsia="宋体" w:cs="宋体"/>
          <w:b w:val="0"/>
          <w:bCs w:val="0"/>
          <w:sz w:val="24"/>
          <w:szCs w:val="24"/>
        </w:rPr>
      </w:pPr>
      <w:bookmarkStart w:id="21" w:name="_Toc521082842"/>
      <w:bookmarkStart w:id="22" w:name="_Toc525414586"/>
      <w:bookmarkStart w:id="23" w:name="_Toc527369372"/>
      <w:bookmarkStart w:id="24" w:name="_Toc525381625"/>
      <w:bookmarkStart w:id="25" w:name="_Toc521083042"/>
      <w:r>
        <w:rPr>
          <w:rFonts w:hint="eastAsia" w:ascii="宋体" w:hAnsi="宋体" w:eastAsia="宋体" w:cs="宋体"/>
          <w:b w:val="0"/>
          <w:bCs w:val="0"/>
          <w:sz w:val="24"/>
          <w:szCs w:val="24"/>
        </w:rPr>
        <w:t>2.2毕业实习</w:t>
      </w:r>
      <w:bookmarkEnd w:id="21"/>
      <w:bookmarkEnd w:id="22"/>
      <w:bookmarkEnd w:id="23"/>
      <w:bookmarkEnd w:id="24"/>
      <w:bookmarkEnd w:id="25"/>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毕业实习是实践教学的主要形式之一，是执行教学计划和课程大纲的关键环节。通过实习，培养学生良好的职业道德和职业能力，使学生具备就业所必需的能力和经历。实习中应有良好的交流、沟通能力，团队合作精神和良好的服务意识，达到专业培养目标的要求。</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根据中药制药专业岗位特点，经与实习单位协商，中药制药专业学生在进入顶岗实习前，均需安排相应时间的跟岗实习，在掌握相应岗位的技能后，经单位考核合格后再进行顶岗实习，具体安排如下：安排在第五、六学期进行，共40周，其中跟岗实习16周、顶岗实习24周。</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（1）跟岗实习16周：</w:t>
      </w:r>
    </w:p>
    <w:p>
      <w:pPr>
        <w:pStyle w:val="11"/>
        <w:spacing w:line="360" w:lineRule="auto"/>
        <w:ind w:firstLine="720" w:firstLineChars="300"/>
        <w:rPr>
          <w:rFonts w:ascii="宋体" w:hAnsi="宋体" w:eastAsia="宋体" w:cs="宋体"/>
          <w:sz w:val="24"/>
        </w:rPr>
      </w:pPr>
      <w:r>
        <w:rPr>
          <w:rFonts w:hint="eastAsia" w:ascii="宋体" w:hAnsi="宋体" w:eastAsia="宋体" w:cs="宋体"/>
          <w:sz w:val="24"/>
        </w:rPr>
        <w:t>药厂：中药提取生产岗位4周，固体制剂生产与管理岗位4周，质量管理岗位4周，药品研发岗位4周；</w:t>
      </w:r>
    </w:p>
    <w:p>
      <w:pPr>
        <w:pStyle w:val="11"/>
        <w:spacing w:line="360" w:lineRule="auto"/>
        <w:ind w:firstLine="720" w:firstLineChars="300"/>
        <w:rPr>
          <w:rFonts w:ascii="宋体" w:hAnsi="宋体" w:eastAsia="宋体" w:cs="宋体"/>
          <w:sz w:val="24"/>
        </w:rPr>
      </w:pPr>
      <w:r>
        <w:rPr>
          <w:rFonts w:hint="eastAsia" w:ascii="宋体" w:hAnsi="宋体" w:eastAsia="宋体" w:cs="宋体"/>
          <w:sz w:val="24"/>
        </w:rPr>
        <w:t>中药饮片厂：中药前处理与中药切制4周，中药炮制加工4周，包装4周，质量管理岗位4周；</w:t>
      </w:r>
    </w:p>
    <w:p>
      <w:pPr>
        <w:pStyle w:val="11"/>
        <w:spacing w:line="360" w:lineRule="auto"/>
        <w:ind w:firstLine="720" w:firstLineChars="300"/>
        <w:rPr>
          <w:rFonts w:ascii="宋体" w:hAnsi="宋体" w:eastAsia="宋体" w:cs="宋体"/>
          <w:sz w:val="24"/>
        </w:rPr>
      </w:pPr>
      <w:r>
        <w:rPr>
          <w:rFonts w:hint="eastAsia" w:ascii="宋体" w:hAnsi="宋体" w:eastAsia="宋体" w:cs="宋体"/>
          <w:sz w:val="24"/>
        </w:rPr>
        <w:t>医院药剂科：药房药品调剂与管理6周，药库管理岗位4周，制剂车间6；</w:t>
      </w:r>
    </w:p>
    <w:p>
      <w:pPr>
        <w:pStyle w:val="11"/>
        <w:spacing w:line="360" w:lineRule="auto"/>
        <w:ind w:firstLine="720" w:firstLineChars="300"/>
        <w:rPr>
          <w:rFonts w:ascii="宋体" w:hAnsi="宋体" w:eastAsia="宋体" w:cs="宋体"/>
          <w:sz w:val="24"/>
        </w:rPr>
      </w:pPr>
      <w:r>
        <w:rPr>
          <w:rFonts w:hint="eastAsia" w:ascii="宋体" w:hAnsi="宋体" w:eastAsia="宋体" w:cs="宋体"/>
          <w:sz w:val="24"/>
        </w:rPr>
        <w:t>医药公司：门店管理岗位8周 ，药品采购4周，药库管理4周。</w:t>
      </w:r>
    </w:p>
    <w:p>
      <w:pPr>
        <w:pStyle w:val="11"/>
        <w:spacing w:line="360" w:lineRule="auto"/>
        <w:ind w:firstLine="480" w:firstLineChars="200"/>
        <w:rPr>
          <w:rFonts w:ascii="宋体" w:hAnsi="宋体" w:eastAsia="宋体" w:cs="宋体"/>
          <w:sz w:val="24"/>
        </w:rPr>
      </w:pPr>
      <w:r>
        <w:rPr>
          <w:rFonts w:hint="eastAsia" w:ascii="宋体" w:hAnsi="宋体" w:eastAsia="宋体" w:cs="宋体"/>
          <w:sz w:val="24"/>
        </w:rPr>
        <w:t>（2）顶岗实习24周：</w:t>
      </w:r>
    </w:p>
    <w:p>
      <w:pPr>
        <w:pStyle w:val="11"/>
        <w:spacing w:line="360" w:lineRule="auto"/>
        <w:ind w:firstLine="720" w:firstLineChars="300"/>
        <w:rPr>
          <w:rFonts w:ascii="宋体" w:hAnsi="宋体" w:eastAsia="宋体" w:cs="宋体"/>
          <w:sz w:val="24"/>
        </w:rPr>
      </w:pPr>
      <w:r>
        <w:rPr>
          <w:rFonts w:hint="eastAsia" w:ascii="宋体" w:hAnsi="宋体" w:eastAsia="宋体" w:cs="宋体"/>
          <w:sz w:val="24"/>
        </w:rPr>
        <w:t>药厂：中药提取生产岗位4周，固体制剂生产与管理岗位8周，质量管理岗位12周；</w:t>
      </w:r>
    </w:p>
    <w:p>
      <w:pPr>
        <w:pStyle w:val="11"/>
        <w:spacing w:line="360" w:lineRule="auto"/>
        <w:ind w:firstLine="720" w:firstLineChars="300"/>
        <w:rPr>
          <w:rFonts w:ascii="宋体" w:hAnsi="宋体" w:eastAsia="宋体" w:cs="宋体"/>
          <w:sz w:val="24"/>
        </w:rPr>
      </w:pPr>
      <w:r>
        <w:rPr>
          <w:rFonts w:hint="eastAsia" w:ascii="宋体" w:hAnsi="宋体" w:eastAsia="宋体" w:cs="宋体"/>
          <w:sz w:val="24"/>
        </w:rPr>
        <w:t>中药饮片厂：中药前处理与中药切制4周，中药炮制加工8周，包装4周，质量管理岗位8周。</w:t>
      </w:r>
    </w:p>
    <w:p>
      <w:pPr>
        <w:pStyle w:val="11"/>
        <w:spacing w:line="360" w:lineRule="auto"/>
        <w:ind w:firstLine="720" w:firstLineChars="300"/>
        <w:rPr>
          <w:rFonts w:ascii="宋体" w:hAnsi="宋体" w:eastAsia="宋体" w:cs="宋体"/>
          <w:sz w:val="24"/>
        </w:rPr>
      </w:pPr>
      <w:r>
        <w:rPr>
          <w:rFonts w:hint="eastAsia" w:ascii="宋体" w:hAnsi="宋体" w:eastAsia="宋体" w:cs="宋体"/>
          <w:sz w:val="24"/>
        </w:rPr>
        <w:t>医院药剂科：药房药品调剂与管理6周，药库管理岗位6周，制剂车间12周；</w:t>
      </w:r>
    </w:p>
    <w:p>
      <w:pPr>
        <w:pStyle w:val="11"/>
        <w:spacing w:line="360" w:lineRule="auto"/>
        <w:ind w:firstLine="720" w:firstLineChars="300"/>
        <w:rPr>
          <w:rFonts w:ascii="宋体" w:hAnsi="宋体" w:eastAsia="宋体" w:cs="宋体"/>
          <w:sz w:val="24"/>
        </w:rPr>
      </w:pPr>
      <w:r>
        <w:rPr>
          <w:rFonts w:hint="eastAsia" w:ascii="宋体" w:hAnsi="宋体" w:eastAsia="宋体" w:cs="宋体"/>
          <w:sz w:val="24"/>
        </w:rPr>
        <w:t>医药公司：门店管理岗位8周，药品采购8周，药库管理8周。</w:t>
      </w:r>
    </w:p>
    <w:p>
      <w:pPr>
        <w:pStyle w:val="3"/>
        <w:spacing w:line="360" w:lineRule="auto"/>
        <w:ind w:firstLine="482" w:firstLineChars="200"/>
        <w:rPr>
          <w:rFonts w:ascii="宋体" w:hAnsi="宋体" w:eastAsia="宋体" w:cs="宋体"/>
          <w:sz w:val="24"/>
          <w:szCs w:val="24"/>
        </w:rPr>
      </w:pPr>
      <w:r>
        <w:rPr>
          <w:rFonts w:hint="eastAsia" w:ascii="宋体" w:hAnsi="宋体" w:eastAsia="宋体" w:cs="宋体"/>
          <w:sz w:val="24"/>
          <w:szCs w:val="24"/>
        </w:rPr>
        <w:t>（三）教学资源</w:t>
      </w:r>
    </w:p>
    <w:p>
      <w:pPr>
        <w:spacing w:line="360" w:lineRule="auto"/>
        <w:ind w:firstLine="480" w:firstLineChars="200"/>
        <w:rPr>
          <w:rFonts w:ascii="宋体" w:hAnsi="宋体" w:eastAsia="宋体" w:cs="宋体"/>
          <w:sz w:val="24"/>
          <w:lang w:val="zh-CN"/>
        </w:rPr>
      </w:pPr>
      <w:r>
        <w:rPr>
          <w:rFonts w:hint="eastAsia" w:ascii="宋体" w:hAnsi="宋体" w:eastAsia="宋体" w:cs="宋体"/>
          <w:sz w:val="24"/>
          <w:lang w:val="zh-CN"/>
        </w:rPr>
        <w:t>已建成中药制药专业教学资源库。制定各门课程教学标准、校企合作开发了专业课程实训指导及开展各门课程试题库、习题库的建设等。</w:t>
      </w:r>
    </w:p>
    <w:p>
      <w:pPr>
        <w:pStyle w:val="3"/>
        <w:spacing w:line="360" w:lineRule="auto"/>
        <w:ind w:firstLine="482" w:firstLineChars="200"/>
        <w:rPr>
          <w:rFonts w:ascii="宋体" w:hAnsi="宋体" w:eastAsia="宋体" w:cs="宋体"/>
          <w:sz w:val="24"/>
          <w:szCs w:val="24"/>
        </w:rPr>
      </w:pPr>
      <w:r>
        <w:rPr>
          <w:rFonts w:hint="eastAsia" w:ascii="宋体" w:hAnsi="宋体" w:eastAsia="宋体" w:cs="宋体"/>
          <w:sz w:val="24"/>
          <w:szCs w:val="24"/>
        </w:rPr>
        <w:t>（四）教学方法</w:t>
      </w:r>
    </w:p>
    <w:p>
      <w:pPr>
        <w:spacing w:line="360" w:lineRule="auto"/>
        <w:ind w:firstLine="480" w:firstLineChars="200"/>
        <w:rPr>
          <w:rFonts w:ascii="宋体" w:hAnsi="宋体" w:eastAsia="宋体" w:cs="宋体"/>
          <w:sz w:val="24"/>
          <w:lang w:val="zh-CN"/>
        </w:rPr>
      </w:pPr>
      <w:r>
        <w:rPr>
          <w:rFonts w:hint="eastAsia" w:ascii="宋体" w:hAnsi="宋体" w:eastAsia="宋体" w:cs="宋体"/>
          <w:sz w:val="24"/>
        </w:rPr>
        <w:t>本专业教师根据高职教育和行业的特点，</w:t>
      </w:r>
      <w:r>
        <w:rPr>
          <w:rFonts w:hint="eastAsia" w:ascii="宋体" w:hAnsi="宋体" w:eastAsia="宋体" w:cs="宋体"/>
          <w:sz w:val="24"/>
          <w:lang w:val="zh-CN"/>
        </w:rPr>
        <w:t>充分利用模拟药房、药品营销一体化实训室、精密仪器室、中药制剂实训中心、医院、药厂、医药公司等校内外实训基地，在中药制剂技术、中药制剂分析、中药药理学、中药炮制学等课程的具体教学过程中大量采用项目教学法、角色扮演、小组技术比拼、仿真技能训练、情景教学等方法，融“教、学、做”为一体，取得了很好的效果，现已形成明显特色的教学方法有：</w:t>
      </w:r>
    </w:p>
    <w:p>
      <w:pPr>
        <w:spacing w:line="360" w:lineRule="auto"/>
        <w:ind w:firstLine="480" w:firstLineChars="200"/>
        <w:rPr>
          <w:rFonts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项目教学法：教师布置项目任务→引导学生学习必要的相关知识→学生查阅资料→完成设计方案→教师指导下实施方案并进行考核→整理记录和完成实训报告→综合考核和评分，学生通过查阅资料、设计实施方案，提高了自主学习的能力和积极性。</w:t>
      </w:r>
    </w:p>
    <w:p>
      <w:pPr>
        <w:spacing w:line="360" w:lineRule="auto"/>
        <w:ind w:firstLine="480" w:firstLineChars="200"/>
        <w:rPr>
          <w:rFonts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zh-CN"/>
        </w:rPr>
        <w:t>仿真技能训练：即主要专业课在模拟药房、药品营销一体化实训室、精密仪器室、中药制剂实训中心等仿真实训室中进行，教师“边讲边演示”，学生“边学边练”，“教、学、做”为一体，有效地提高了专业技能训练的效果。</w:t>
      </w:r>
    </w:p>
    <w:p>
      <w:pPr>
        <w:spacing w:line="360" w:lineRule="auto"/>
        <w:ind w:firstLine="480" w:firstLineChars="200"/>
        <w:rPr>
          <w:rFonts w:ascii="宋体" w:hAnsi="宋体" w:eastAsia="宋体" w:cs="宋体"/>
          <w:sz w:val="24"/>
          <w:lang w:val="zh-CN"/>
        </w:rPr>
      </w:pPr>
      <w:r>
        <w:rPr>
          <w:rFonts w:hint="eastAsia" w:ascii="宋体" w:hAnsi="宋体" w:eastAsia="宋体" w:cs="宋体"/>
          <w:sz w:val="24"/>
        </w:rPr>
        <w:t>3.</w:t>
      </w:r>
      <w:r>
        <w:rPr>
          <w:rFonts w:hint="eastAsia" w:ascii="宋体" w:hAnsi="宋体" w:eastAsia="宋体" w:cs="宋体"/>
          <w:sz w:val="24"/>
          <w:lang w:val="zh-CN"/>
        </w:rPr>
        <w:t>小组技术比拼法：有些教学内容如药品分类陈列，模拟药房设计等采用小组技术比拼法进行教学，学生以小组为单位，进行方案设计、材料准备、陈列摆放，小组解说，老师点评，得出比拼结果。通过比拼加强了团队协作及与人沟通的能力，启迪了学生的思维，强化了职业技能，取得了良好的教学效果。</w:t>
      </w:r>
    </w:p>
    <w:p>
      <w:pPr>
        <w:spacing w:line="360" w:lineRule="auto"/>
        <w:ind w:firstLine="480" w:firstLineChars="200"/>
        <w:rPr>
          <w:rFonts w:ascii="宋体" w:hAnsi="宋体" w:eastAsia="宋体" w:cs="宋体"/>
          <w:sz w:val="24"/>
          <w:lang w:val="zh-CN"/>
        </w:rPr>
      </w:pPr>
      <w:r>
        <w:rPr>
          <w:rFonts w:hint="eastAsia" w:ascii="宋体" w:hAnsi="宋体" w:eastAsia="宋体" w:cs="宋体"/>
          <w:sz w:val="24"/>
        </w:rPr>
        <w:t>4.</w:t>
      </w:r>
      <w:r>
        <w:rPr>
          <w:rFonts w:hint="eastAsia" w:ascii="宋体" w:hAnsi="宋体" w:eastAsia="宋体" w:cs="宋体"/>
          <w:sz w:val="24"/>
          <w:lang w:val="zh-CN"/>
        </w:rPr>
        <w:t>情景教学法：部分专业课程组织学生到行业企业进行现场教学，行业企业专家在真实的工作情景中边讲、边示范，学生边听边实操，使学生置身真实的工作环境中学习，提高了学生对行业企业的认识，激发了他们学习的兴趣，也有效地提高了学生的专业技能。</w:t>
      </w:r>
    </w:p>
    <w:p>
      <w:pPr>
        <w:spacing w:line="360" w:lineRule="auto"/>
        <w:ind w:firstLine="480" w:firstLineChars="200"/>
        <w:rPr>
          <w:rFonts w:ascii="宋体" w:hAnsi="宋体" w:eastAsia="宋体" w:cs="宋体"/>
          <w:sz w:val="24"/>
        </w:rPr>
      </w:pPr>
      <w:r>
        <w:rPr>
          <w:rFonts w:hint="eastAsia" w:ascii="宋体" w:hAnsi="宋体" w:eastAsia="宋体" w:cs="宋体"/>
          <w:sz w:val="24"/>
        </w:rPr>
        <w:t>5.</w:t>
      </w:r>
      <w:r>
        <w:rPr>
          <w:rFonts w:hint="eastAsia" w:ascii="宋体" w:hAnsi="宋体" w:eastAsia="宋体" w:cs="宋体"/>
          <w:sz w:val="24"/>
          <w:lang w:val="zh-CN"/>
        </w:rPr>
        <w:t>专题讲座及授课：邀请行业一线人员，对师生进行专业知识、技术新进展、职业素养培养等问题的专题讲座，增强学生的学习兴趣，调动学习积极性培养综合素质和能力。</w:t>
      </w:r>
    </w:p>
    <w:p>
      <w:pPr>
        <w:pStyle w:val="3"/>
        <w:spacing w:line="360" w:lineRule="auto"/>
        <w:ind w:firstLine="482" w:firstLineChars="200"/>
        <w:rPr>
          <w:rFonts w:ascii="宋体" w:hAnsi="宋体" w:eastAsia="宋体" w:cs="宋体"/>
          <w:sz w:val="24"/>
          <w:szCs w:val="24"/>
        </w:rPr>
      </w:pPr>
      <w:r>
        <w:rPr>
          <w:rFonts w:hint="eastAsia" w:ascii="宋体" w:hAnsi="宋体" w:eastAsia="宋体" w:cs="宋体"/>
          <w:sz w:val="24"/>
          <w:szCs w:val="24"/>
        </w:rPr>
        <w:t>（五）教学评价</w:t>
      </w:r>
    </w:p>
    <w:p>
      <w:pPr>
        <w:spacing w:line="360" w:lineRule="auto"/>
        <w:ind w:firstLine="480" w:firstLineChars="200"/>
        <w:rPr>
          <w:rFonts w:ascii="宋体" w:hAnsi="宋体" w:eastAsia="宋体" w:cs="宋体"/>
          <w:sz w:val="24"/>
        </w:rPr>
      </w:pPr>
      <w:r>
        <w:rPr>
          <w:rFonts w:hint="eastAsia" w:ascii="宋体" w:hAnsi="宋体" w:eastAsia="宋体" w:cs="宋体"/>
          <w:sz w:val="24"/>
        </w:rPr>
        <w:t>1.课程考核：将各课程考核方式分为两部分，一是形成性考核，占科目总成绩的40%，包括：平时作业、课堂考勤、学习态度、平时理论和技能考核等；二是终结性考核，占科目总成绩的60%，包括：期末理论考核、期末技能考核。</w:t>
      </w:r>
    </w:p>
    <w:p>
      <w:pPr>
        <w:spacing w:line="360" w:lineRule="auto"/>
        <w:ind w:firstLine="480" w:firstLineChars="200"/>
        <w:rPr>
          <w:rFonts w:ascii="宋体" w:hAnsi="宋体" w:eastAsia="宋体" w:cs="宋体"/>
          <w:sz w:val="24"/>
        </w:rPr>
      </w:pPr>
      <w:r>
        <w:rPr>
          <w:rFonts w:hint="eastAsia" w:ascii="宋体" w:hAnsi="宋体" w:eastAsia="宋体" w:cs="宋体"/>
          <w:sz w:val="24"/>
        </w:rPr>
        <w:t>2.实习考核：以实习单位为主，主要考核学生实习中的岗位职业能力、职业态度、团结协作、人际沟通能力等。</w:t>
      </w:r>
    </w:p>
    <w:p>
      <w:pPr>
        <w:spacing w:line="360" w:lineRule="auto"/>
        <w:ind w:firstLine="480" w:firstLineChars="200"/>
        <w:rPr>
          <w:rFonts w:ascii="宋体" w:hAnsi="宋体" w:eastAsia="宋体" w:cs="宋体"/>
          <w:sz w:val="24"/>
        </w:rPr>
      </w:pPr>
      <w:r>
        <w:rPr>
          <w:rFonts w:hint="eastAsia" w:ascii="宋体" w:hAnsi="宋体" w:eastAsia="宋体" w:cs="宋体"/>
          <w:sz w:val="24"/>
        </w:rPr>
        <w:t>3.评价：建立了较完善的教学质量保证和监控机制，教学秩序良好。通过巡课、听课、召开师生座谈会、教师评学、学生评教等活动，采取学生、同行、督导小组三层次评教，形成了科学的评教运行机制。</w:t>
      </w:r>
    </w:p>
    <w:p>
      <w:pPr>
        <w:pStyle w:val="3"/>
        <w:spacing w:line="360" w:lineRule="auto"/>
        <w:ind w:firstLine="482" w:firstLineChars="200"/>
        <w:rPr>
          <w:rFonts w:ascii="宋体" w:hAnsi="宋体" w:eastAsia="宋体" w:cs="宋体"/>
          <w:sz w:val="24"/>
          <w:szCs w:val="24"/>
        </w:rPr>
      </w:pPr>
      <w:r>
        <w:rPr>
          <w:rFonts w:hint="eastAsia" w:ascii="宋体" w:hAnsi="宋体" w:eastAsia="宋体" w:cs="宋体"/>
          <w:sz w:val="24"/>
          <w:szCs w:val="24"/>
        </w:rPr>
        <w:t>（六）质量管理</w:t>
      </w:r>
    </w:p>
    <w:p>
      <w:pPr>
        <w:spacing w:line="360" w:lineRule="auto"/>
        <w:ind w:firstLine="480" w:firstLineChars="200"/>
        <w:rPr>
          <w:rFonts w:ascii="宋体" w:hAnsi="宋体" w:eastAsia="宋体" w:cs="宋体"/>
          <w:sz w:val="24"/>
        </w:rPr>
      </w:pPr>
      <w:r>
        <w:rPr>
          <w:rFonts w:hint="eastAsia" w:ascii="宋体" w:hAnsi="宋体" w:eastAsia="宋体" w:cs="宋体"/>
          <w:sz w:val="24"/>
        </w:rPr>
        <w:t>教学管理要更新观念，为课程改革、教与学实施创造条件；要加强对教学过程的质量监控，促进教师教学能力的提升，保证教学质量。</w:t>
      </w:r>
    </w:p>
    <w:p>
      <w:pPr>
        <w:spacing w:line="360" w:lineRule="auto"/>
        <w:ind w:firstLine="480" w:firstLineChars="200"/>
        <w:rPr>
          <w:rFonts w:ascii="宋体" w:hAnsi="宋体" w:eastAsia="宋体" w:cs="宋体"/>
          <w:sz w:val="24"/>
        </w:rPr>
      </w:pPr>
      <w:r>
        <w:rPr>
          <w:rFonts w:hint="eastAsia" w:ascii="宋体" w:hAnsi="宋体" w:eastAsia="宋体" w:cs="宋体"/>
          <w:sz w:val="24"/>
        </w:rPr>
        <w:t>1.成立由行业专家、职业教育专家、教师及教学管理人员组成的专业建设和教学指导委员会，进行整体教育教学指导。</w:t>
      </w:r>
    </w:p>
    <w:p>
      <w:pPr>
        <w:spacing w:line="360" w:lineRule="auto"/>
        <w:ind w:firstLine="480" w:firstLineChars="200"/>
        <w:rPr>
          <w:rFonts w:ascii="宋体" w:hAnsi="宋体" w:eastAsia="宋体" w:cs="宋体"/>
          <w:sz w:val="24"/>
        </w:rPr>
      </w:pPr>
      <w:r>
        <w:rPr>
          <w:rFonts w:hint="eastAsia" w:ascii="宋体" w:hAnsi="宋体" w:eastAsia="宋体" w:cs="宋体"/>
          <w:sz w:val="24"/>
        </w:rPr>
        <w:t>2.教学管理工作应在规范性与灵活性的原则下，结合学校实际教学资源，体现专业特点，保证“教学做”三者相结合，提高教学效果。为实现学生的早接触实际工作、多接触实际工作，应合理安排课程，调配教师，组织与管理好教学，提高校内实训室课内外的使用效率，积极与校外实训基地协调合作，完成见习、实习计划。</w:t>
      </w:r>
    </w:p>
    <w:p>
      <w:pPr>
        <w:spacing w:line="360" w:lineRule="auto"/>
        <w:ind w:firstLine="480" w:firstLineChars="200"/>
        <w:rPr>
          <w:rFonts w:ascii="宋体" w:hAnsi="宋体" w:eastAsia="宋体" w:cs="宋体"/>
          <w:sz w:val="24"/>
        </w:rPr>
      </w:pPr>
      <w:r>
        <w:rPr>
          <w:rFonts w:hint="eastAsia" w:ascii="宋体" w:hAnsi="宋体" w:eastAsia="宋体" w:cs="宋体"/>
          <w:sz w:val="24"/>
        </w:rPr>
        <w:t>3.聘请中级以上职称的行业专家参与课程建设与教学活动，共同保证本标准的实施质量。</w:t>
      </w:r>
    </w:p>
    <w:p>
      <w:pPr>
        <w:spacing w:line="360" w:lineRule="auto"/>
        <w:ind w:firstLine="480" w:firstLineChars="200"/>
        <w:rPr>
          <w:rFonts w:ascii="宋体" w:hAnsi="宋体" w:eastAsia="宋体" w:cs="宋体"/>
          <w:sz w:val="24"/>
        </w:rPr>
      </w:pPr>
      <w:r>
        <w:rPr>
          <w:rFonts w:hint="eastAsia" w:ascii="宋体" w:hAnsi="宋体" w:eastAsia="宋体" w:cs="宋体"/>
          <w:sz w:val="24"/>
        </w:rPr>
        <w:t>4.建立教学质量监控与教科研体系，设立教学督导与教研管理机构，加强对教学过程的质量监控，改革教学评价的标准和方法，针对教学过程中的问题进行探索和研究，促进教师教学能力和科研水平的提升，保证教学质量。</w:t>
      </w:r>
    </w:p>
    <w:p>
      <w:pPr>
        <w:pStyle w:val="2"/>
        <w:spacing w:line="360" w:lineRule="auto"/>
        <w:ind w:firstLine="0"/>
        <w:rPr>
          <w:rFonts w:ascii="宋体" w:hAnsi="宋体" w:eastAsia="宋体" w:cs="宋体"/>
          <w:sz w:val="24"/>
          <w:szCs w:val="24"/>
        </w:rPr>
      </w:pPr>
      <w:bookmarkStart w:id="26" w:name="_Toc525414587"/>
      <w:bookmarkStart w:id="27" w:name="_Toc521082843"/>
      <w:bookmarkStart w:id="28" w:name="_Toc525381626"/>
      <w:bookmarkStart w:id="29" w:name="_Toc527369373"/>
      <w:bookmarkStart w:id="30" w:name="_Toc521083043"/>
      <w:r>
        <w:rPr>
          <w:rFonts w:hint="eastAsia" w:ascii="宋体" w:hAnsi="宋体" w:eastAsia="宋体" w:cs="宋体"/>
          <w:sz w:val="24"/>
          <w:szCs w:val="24"/>
        </w:rPr>
        <w:t>九、毕业要求</w:t>
      </w:r>
    </w:p>
    <w:bookmarkEnd w:id="26"/>
    <w:bookmarkEnd w:id="27"/>
    <w:bookmarkEnd w:id="28"/>
    <w:bookmarkEnd w:id="29"/>
    <w:bookmarkEnd w:id="30"/>
    <w:p>
      <w:pPr>
        <w:pStyle w:val="11"/>
        <w:spacing w:line="360" w:lineRule="auto"/>
        <w:ind w:firstLine="480" w:firstLineChars="200"/>
        <w:rPr>
          <w:rFonts w:ascii="宋体" w:hAnsi="宋体" w:eastAsia="宋体" w:cs="宋体"/>
          <w:b/>
          <w:sz w:val="24"/>
        </w:rPr>
      </w:pPr>
      <w:r>
        <w:rPr>
          <w:rFonts w:hint="eastAsia" w:ascii="宋体" w:hAnsi="宋体" w:eastAsia="宋体" w:cs="宋体"/>
          <w:bCs/>
          <w:sz w:val="24"/>
        </w:rPr>
        <w:t>1.修</w:t>
      </w:r>
      <w:r>
        <w:rPr>
          <w:rFonts w:hint="eastAsia" w:ascii="宋体" w:hAnsi="宋体" w:eastAsia="宋体" w:cs="宋体"/>
          <w:sz w:val="24"/>
        </w:rPr>
        <w:t>满本专业规定的学分，完成了规定的教学环节，符合国家教育部、广东省教育厅及学院对大专学历管理的要求，授予国家全日制普通高等教育专科学历证书。</w:t>
      </w:r>
    </w:p>
    <w:p>
      <w:pPr>
        <w:pStyle w:val="11"/>
        <w:spacing w:line="360" w:lineRule="auto"/>
        <w:ind w:firstLine="480" w:firstLineChars="200"/>
        <w:rPr>
          <w:rFonts w:ascii="宋体" w:hAnsi="宋体" w:eastAsia="宋体" w:cs="宋体"/>
          <w:sz w:val="24"/>
          <w:lang w:val="zh-CN"/>
        </w:rPr>
      </w:pPr>
      <w:r>
        <w:rPr>
          <w:rFonts w:hint="eastAsia" w:ascii="宋体" w:hAnsi="宋体" w:eastAsia="宋体" w:cs="宋体"/>
          <w:sz w:val="24"/>
        </w:rPr>
        <w:t>2.学分计算方法：</w:t>
      </w:r>
      <w:r>
        <w:rPr>
          <w:rFonts w:hint="eastAsia" w:ascii="宋体" w:hAnsi="宋体" w:eastAsia="宋体" w:cs="宋体"/>
          <w:sz w:val="24"/>
          <w:lang w:val="zh-CN"/>
        </w:rPr>
        <w:t>每学科每</w:t>
      </w:r>
      <w:r>
        <w:rPr>
          <w:rFonts w:hint="eastAsia" w:ascii="宋体" w:hAnsi="宋体" w:eastAsia="宋体" w:cs="宋体"/>
          <w:sz w:val="24"/>
        </w:rPr>
        <w:t>16</w:t>
      </w:r>
      <w:r>
        <w:rPr>
          <w:rFonts w:hint="eastAsia" w:ascii="宋体" w:hAnsi="宋体" w:eastAsia="宋体" w:cs="宋体"/>
          <w:sz w:val="24"/>
          <w:lang w:val="zh-CN"/>
        </w:rPr>
        <w:t>学时计1学分，其中必修课程</w:t>
      </w:r>
      <w:r>
        <w:rPr>
          <w:rFonts w:hint="eastAsia" w:ascii="宋体" w:hAnsi="宋体" w:eastAsia="宋体" w:cs="宋体"/>
          <w:sz w:val="24"/>
        </w:rPr>
        <w:t>79</w:t>
      </w:r>
      <w:r>
        <w:rPr>
          <w:rFonts w:hint="eastAsia" w:ascii="宋体" w:hAnsi="宋体" w:eastAsia="宋体" w:cs="宋体"/>
          <w:sz w:val="24"/>
          <w:lang w:val="zh-CN"/>
        </w:rPr>
        <w:t>学分，选修课</w:t>
      </w:r>
      <w:r>
        <w:rPr>
          <w:rFonts w:hint="eastAsia" w:ascii="宋体" w:hAnsi="宋体" w:eastAsia="宋体" w:cs="宋体"/>
          <w:sz w:val="24"/>
        </w:rPr>
        <w:t>18</w:t>
      </w:r>
      <w:r>
        <w:rPr>
          <w:rFonts w:hint="eastAsia" w:ascii="宋体" w:hAnsi="宋体" w:eastAsia="宋体" w:cs="宋体"/>
          <w:sz w:val="24"/>
          <w:lang w:val="zh-CN"/>
        </w:rPr>
        <w:t>学分，毕业实习一学年安排</w:t>
      </w:r>
      <w:r>
        <w:rPr>
          <w:rFonts w:hint="eastAsia" w:ascii="宋体" w:hAnsi="宋体" w:eastAsia="宋体" w:cs="宋体"/>
          <w:sz w:val="24"/>
        </w:rPr>
        <w:t>40</w:t>
      </w:r>
      <w:r>
        <w:rPr>
          <w:rFonts w:hint="eastAsia" w:ascii="宋体" w:hAnsi="宋体" w:eastAsia="宋体" w:cs="宋体"/>
          <w:sz w:val="24"/>
          <w:lang w:val="zh-CN"/>
        </w:rPr>
        <w:t>周实习，一周1学分，共</w:t>
      </w:r>
      <w:r>
        <w:rPr>
          <w:rFonts w:hint="eastAsia" w:ascii="宋体" w:hAnsi="宋体" w:eastAsia="宋体" w:cs="宋体"/>
          <w:sz w:val="24"/>
        </w:rPr>
        <w:t>40</w:t>
      </w:r>
      <w:r>
        <w:rPr>
          <w:rFonts w:hint="eastAsia" w:ascii="宋体" w:hAnsi="宋体" w:eastAsia="宋体" w:cs="宋体"/>
          <w:sz w:val="24"/>
          <w:lang w:val="zh-CN"/>
        </w:rPr>
        <w:t>学分。</w:t>
      </w:r>
    </w:p>
    <w:p>
      <w:pPr>
        <w:adjustRightInd w:val="0"/>
        <w:snapToGrid w:val="0"/>
        <w:spacing w:line="360" w:lineRule="auto"/>
        <w:rPr>
          <w:rFonts w:ascii="宋体" w:hAnsi="宋体" w:eastAsia="宋体" w:cs="宋体"/>
          <w:b/>
          <w:bCs/>
          <w:sz w:val="24"/>
        </w:rPr>
      </w:pPr>
      <w:r>
        <w:rPr>
          <w:rFonts w:hint="eastAsia" w:ascii="宋体" w:hAnsi="宋体" w:eastAsia="宋体" w:cs="宋体"/>
          <w:b/>
          <w:bCs/>
          <w:sz w:val="24"/>
        </w:rPr>
        <w:t>十、附录</w:t>
      </w:r>
    </w:p>
    <w:p>
      <w:pPr>
        <w:spacing w:line="360" w:lineRule="auto"/>
        <w:ind w:firstLine="480" w:firstLineChars="200"/>
        <w:rPr>
          <w:rFonts w:ascii="宋体" w:hAnsi="宋体" w:eastAsia="宋体" w:cs="宋体"/>
          <w:bCs/>
          <w:sz w:val="24"/>
        </w:rPr>
      </w:pPr>
    </w:p>
    <w:p>
      <w:pPr>
        <w:spacing w:line="360" w:lineRule="auto"/>
        <w:ind w:firstLine="480" w:firstLineChars="200"/>
        <w:rPr>
          <w:rFonts w:ascii="宋体" w:hAnsi="宋体" w:eastAsia="宋体" w:cs="宋体"/>
          <w:bCs/>
          <w:sz w:val="24"/>
        </w:rPr>
      </w:pPr>
      <w:r>
        <w:rPr>
          <w:rFonts w:hint="eastAsia" w:ascii="宋体" w:hAnsi="宋体" w:eastAsia="宋体" w:cs="宋体"/>
          <w:bCs/>
          <w:sz w:val="24"/>
        </w:rPr>
        <w:t>教学进程表及说明。</w:t>
      </w:r>
    </w:p>
    <w:p>
      <w:pPr>
        <w:adjustRightInd w:val="0"/>
        <w:snapToGrid w:val="0"/>
        <w:spacing w:line="360" w:lineRule="auto"/>
        <w:ind w:firstLine="420" w:firstLineChars="200"/>
        <w:rPr>
          <w:rFonts w:ascii="宋体" w:hAnsi="宋体" w:eastAsia="宋体" w:cs="宋体"/>
          <w:sz w:val="24"/>
        </w:rPr>
      </w:pPr>
      <w:bookmarkStart w:id="31" w:name="_GoBack"/>
      <w:r>
        <w:drawing>
          <wp:anchor distT="0" distB="0" distL="114300" distR="114300" simplePos="0" relativeHeight="251659264" behindDoc="0" locked="0" layoutInCell="1" allowOverlap="1">
            <wp:simplePos x="0" y="0"/>
            <wp:positionH relativeFrom="column">
              <wp:posOffset>9525</wp:posOffset>
            </wp:positionH>
            <wp:positionV relativeFrom="page">
              <wp:posOffset>781050</wp:posOffset>
            </wp:positionV>
            <wp:extent cx="6115685" cy="9086215"/>
            <wp:effectExtent l="0" t="0" r="18415" b="63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115685" cy="9086215"/>
                    </a:xfrm>
                    <a:prstGeom prst="rect">
                      <a:avLst/>
                    </a:prstGeom>
                    <a:noFill/>
                    <a:ln>
                      <a:noFill/>
                    </a:ln>
                  </pic:spPr>
                </pic:pic>
              </a:graphicData>
            </a:graphic>
          </wp:anchor>
        </w:drawing>
      </w:r>
      <w:bookmarkEnd w:id="31"/>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66D89"/>
    <w:rsid w:val="001E1840"/>
    <w:rsid w:val="003A49A3"/>
    <w:rsid w:val="004550BD"/>
    <w:rsid w:val="00466D89"/>
    <w:rsid w:val="00471508"/>
    <w:rsid w:val="00792015"/>
    <w:rsid w:val="00895DCE"/>
    <w:rsid w:val="00A63BB6"/>
    <w:rsid w:val="00A6438C"/>
    <w:rsid w:val="00AF604F"/>
    <w:rsid w:val="00B322AD"/>
    <w:rsid w:val="00C3218F"/>
    <w:rsid w:val="00D25FA9"/>
    <w:rsid w:val="00DE6DBC"/>
    <w:rsid w:val="00E340AE"/>
    <w:rsid w:val="00F52F2E"/>
    <w:rsid w:val="00FC71F5"/>
    <w:rsid w:val="010B6FC0"/>
    <w:rsid w:val="01522FB6"/>
    <w:rsid w:val="03E55DAC"/>
    <w:rsid w:val="055E00C7"/>
    <w:rsid w:val="0639058C"/>
    <w:rsid w:val="0775285C"/>
    <w:rsid w:val="08DB2F92"/>
    <w:rsid w:val="09CC31F2"/>
    <w:rsid w:val="0D3B2936"/>
    <w:rsid w:val="0D817E54"/>
    <w:rsid w:val="0FBA5B44"/>
    <w:rsid w:val="102C18A8"/>
    <w:rsid w:val="18A267FF"/>
    <w:rsid w:val="1AF83F01"/>
    <w:rsid w:val="1F706F47"/>
    <w:rsid w:val="1FB075A7"/>
    <w:rsid w:val="224946CF"/>
    <w:rsid w:val="226858CB"/>
    <w:rsid w:val="22FC0CFE"/>
    <w:rsid w:val="23CE150A"/>
    <w:rsid w:val="259441D5"/>
    <w:rsid w:val="271507D7"/>
    <w:rsid w:val="2C2B2F66"/>
    <w:rsid w:val="326E5402"/>
    <w:rsid w:val="3597647A"/>
    <w:rsid w:val="384B4DB2"/>
    <w:rsid w:val="3EFD49EF"/>
    <w:rsid w:val="3FF15EF6"/>
    <w:rsid w:val="42F80472"/>
    <w:rsid w:val="45DC65E4"/>
    <w:rsid w:val="487548A0"/>
    <w:rsid w:val="49720EB4"/>
    <w:rsid w:val="4C5B0F99"/>
    <w:rsid w:val="4C5D66CE"/>
    <w:rsid w:val="4CFB59CF"/>
    <w:rsid w:val="4D2213C4"/>
    <w:rsid w:val="4F907BE4"/>
    <w:rsid w:val="512306A2"/>
    <w:rsid w:val="526108F0"/>
    <w:rsid w:val="526924E6"/>
    <w:rsid w:val="528C00F9"/>
    <w:rsid w:val="555B12A0"/>
    <w:rsid w:val="55841C39"/>
    <w:rsid w:val="56C273B1"/>
    <w:rsid w:val="583535A1"/>
    <w:rsid w:val="5F2C35C9"/>
    <w:rsid w:val="603B0558"/>
    <w:rsid w:val="60D073EA"/>
    <w:rsid w:val="64750597"/>
    <w:rsid w:val="66941E8C"/>
    <w:rsid w:val="687F281E"/>
    <w:rsid w:val="6AD9304D"/>
    <w:rsid w:val="6EE837EC"/>
    <w:rsid w:val="72236359"/>
    <w:rsid w:val="728A5C51"/>
    <w:rsid w:val="734E3440"/>
    <w:rsid w:val="735034B7"/>
    <w:rsid w:val="75CA3E47"/>
    <w:rsid w:val="789D2C6B"/>
    <w:rsid w:val="7A7B53B9"/>
    <w:rsid w:val="7B980600"/>
    <w:rsid w:val="7D366D8C"/>
    <w:rsid w:val="7D9327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9"/>
    <w:pPr>
      <w:keepNext/>
      <w:keepLines/>
      <w:ind w:firstLine="482"/>
      <w:outlineLvl w:val="0"/>
    </w:pPr>
    <w:rPr>
      <w:b/>
      <w:bCs/>
      <w:kern w:val="44"/>
      <w:szCs w:val="44"/>
    </w:rPr>
  </w:style>
  <w:style w:type="paragraph" w:styleId="3">
    <w:name w:val="heading 2"/>
    <w:basedOn w:val="1"/>
    <w:next w:val="1"/>
    <w:qFormat/>
    <w:uiPriority w:val="0"/>
    <w:pPr>
      <w:keepNext/>
      <w:keepLines/>
      <w:outlineLvl w:val="1"/>
    </w:pPr>
    <w:rPr>
      <w:b/>
      <w:bCs/>
      <w:szCs w:val="32"/>
    </w:rPr>
  </w:style>
  <w:style w:type="paragraph" w:styleId="4">
    <w:name w:val="heading 3"/>
    <w:basedOn w:val="1"/>
    <w:next w:val="1"/>
    <w:qFormat/>
    <w:uiPriority w:val="0"/>
    <w:pPr>
      <w:keepNext/>
      <w:keepLines/>
      <w:outlineLvl w:val="2"/>
    </w:pPr>
    <w:rPr>
      <w:b/>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5">
    <w:name w:val="Balloon Text"/>
    <w:basedOn w:val="1"/>
    <w:link w:val="14"/>
    <w:qFormat/>
    <w:uiPriority w:val="0"/>
    <w:rPr>
      <w:sz w:val="18"/>
      <w:szCs w:val="18"/>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10">
    <w:name w:val="List Paragraph"/>
    <w:basedOn w:val="1"/>
    <w:qFormat/>
    <w:uiPriority w:val="99"/>
    <w:pPr>
      <w:ind w:firstLine="420" w:firstLineChars="200"/>
    </w:pPr>
  </w:style>
  <w:style w:type="paragraph" w:customStyle="1" w:styleId="11">
    <w:name w:val="正文2"/>
    <w:basedOn w:val="1"/>
    <w:qFormat/>
    <w:uiPriority w:val="0"/>
  </w:style>
  <w:style w:type="character" w:customStyle="1" w:styleId="12">
    <w:name w:val="页眉 Char"/>
    <w:basedOn w:val="9"/>
    <w:link w:val="7"/>
    <w:qFormat/>
    <w:uiPriority w:val="0"/>
    <w:rPr>
      <w:rFonts w:asciiTheme="minorHAnsi" w:hAnsiTheme="minorHAnsi" w:eastAsiaTheme="minorEastAsia" w:cstheme="minorBidi"/>
      <w:kern w:val="2"/>
      <w:sz w:val="18"/>
      <w:szCs w:val="18"/>
    </w:rPr>
  </w:style>
  <w:style w:type="character" w:customStyle="1" w:styleId="13">
    <w:name w:val="页脚 Char"/>
    <w:basedOn w:val="9"/>
    <w:link w:val="6"/>
    <w:qFormat/>
    <w:uiPriority w:val="0"/>
    <w:rPr>
      <w:rFonts w:asciiTheme="minorHAnsi" w:hAnsiTheme="minorHAnsi" w:eastAsiaTheme="minorEastAsia" w:cstheme="minorBidi"/>
      <w:kern w:val="2"/>
      <w:sz w:val="18"/>
      <w:szCs w:val="18"/>
    </w:rPr>
  </w:style>
  <w:style w:type="character" w:customStyle="1" w:styleId="14">
    <w:name w:val="批注框文本 Char"/>
    <w:basedOn w:val="9"/>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Www.SangSan.Cn</Company>
  <Pages>16</Pages>
  <Words>1908</Words>
  <Characters>10881</Characters>
  <Lines>90</Lines>
  <Paragraphs>25</Paragraphs>
  <TotalTime>1</TotalTime>
  <ScaleCrop>false</ScaleCrop>
  <LinksUpToDate>false</LinksUpToDate>
  <CharactersWithSpaces>12764</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2021-04-08T03:23:00Z</dcterms:created>
  <dc:creator>Administrator</dc:creator>
  <cp:lastModifiedBy>常陆林</cp:lastModifiedBy>
  <dcterms:modified xsi:type="dcterms:W3CDTF">2021-08-20T03:40:18Z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B90370BDE9624B189EC9A3E5B7FF6C80</vt:lpwstr>
  </property>
</Properties>
</file>